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BC0" w:rsidRPr="00084CD2" w:rsidRDefault="00941040" w:rsidP="00F07BC0">
      <w:pPr>
        <w:spacing w:after="0"/>
        <w:rPr>
          <w:rFonts w:cs="Arial"/>
          <w:highlight w:val="yellow"/>
        </w:rPr>
        <w:sectPr w:rsidR="00F07BC0" w:rsidRPr="00084CD2" w:rsidSect="006550FD">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bookmarkStart w:id="0" w:name="_GoBack"/>
      <w:bookmarkEnd w:id="0"/>
      <w:r w:rsidRPr="00084CD2">
        <w:rPr>
          <w:rFonts w:cs="Arial"/>
          <w:noProof/>
          <w:highlight w:val="yellow"/>
          <w:lang w:eastAsia="en-GB"/>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8FC" w:rsidRDefault="00941040" w:rsidP="00F07BC0">
                            <w:pPr>
                              <w:spacing w:after="0"/>
                              <w:ind w:right="-46"/>
                              <w:rPr>
                                <w:rFonts w:cs="Arial"/>
                                <w:b/>
                                <w:bCs/>
                                <w:sz w:val="52"/>
                                <w:szCs w:val="52"/>
                              </w:rPr>
                            </w:pPr>
                          </w:p>
                          <w:p w:rsidR="00E568FC" w:rsidRDefault="00941040" w:rsidP="00F07BC0">
                            <w:pPr>
                              <w:spacing w:after="0"/>
                              <w:ind w:right="-46"/>
                              <w:rPr>
                                <w:rFonts w:cs="Arial"/>
                                <w:b/>
                                <w:bCs/>
                                <w:sz w:val="52"/>
                                <w:szCs w:val="52"/>
                              </w:rPr>
                            </w:pPr>
                            <w:r>
                              <w:rPr>
                                <w:rFonts w:cs="Arial"/>
                                <w:b/>
                                <w:bCs/>
                                <w:sz w:val="52"/>
                                <w:szCs w:val="52"/>
                              </w:rPr>
                              <w:t>Money Matters</w:t>
                            </w:r>
                          </w:p>
                          <w:p w:rsidR="00E568FC" w:rsidRDefault="00941040" w:rsidP="00F07BC0">
                            <w:pPr>
                              <w:spacing w:after="0"/>
                              <w:ind w:right="-46"/>
                              <w:rPr>
                                <w:rFonts w:cs="Arial"/>
                                <w:b/>
                                <w:bCs/>
                                <w:sz w:val="52"/>
                                <w:szCs w:val="52"/>
                              </w:rPr>
                            </w:pPr>
                            <w:r>
                              <w:rPr>
                                <w:rFonts w:cs="Arial"/>
                                <w:b/>
                                <w:bCs/>
                                <w:sz w:val="52"/>
                                <w:szCs w:val="52"/>
                              </w:rPr>
                              <w:t>The County Council's Capital Financial Position 2018/19 Quarter 1</w:t>
                            </w:r>
                          </w:p>
                          <w:p w:rsidR="00E568FC" w:rsidRPr="0037393E" w:rsidRDefault="00941040" w:rsidP="00F07BC0">
                            <w:pPr>
                              <w:spacing w:after="0"/>
                              <w:ind w:right="-46"/>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8pt;margin-top:462.2pt;width:52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" filled="f" stroked="f">
                <v:textbox>
                  <w:txbxContent>
                    <w:p w:rsidR="00E568FC" w:rsidRDefault="00941040" w:rsidP="00F07BC0">
                      <w:pPr>
                        <w:spacing w:after="0"/>
                        <w:ind w:right="-46"/>
                        <w:rPr>
                          <w:rFonts w:cs="Arial"/>
                          <w:b/>
                          <w:bCs/>
                          <w:sz w:val="52"/>
                          <w:szCs w:val="52"/>
                        </w:rPr>
                      </w:pPr>
                    </w:p>
                    <w:p w:rsidR="00E568FC" w:rsidRDefault="00941040" w:rsidP="00F07BC0">
                      <w:pPr>
                        <w:spacing w:after="0"/>
                        <w:ind w:right="-46"/>
                        <w:rPr>
                          <w:rFonts w:cs="Arial"/>
                          <w:b/>
                          <w:bCs/>
                          <w:sz w:val="52"/>
                          <w:szCs w:val="52"/>
                        </w:rPr>
                      </w:pPr>
                      <w:r>
                        <w:rPr>
                          <w:rFonts w:cs="Arial"/>
                          <w:b/>
                          <w:bCs/>
                          <w:sz w:val="52"/>
                          <w:szCs w:val="52"/>
                        </w:rPr>
                        <w:t>Money Matters</w:t>
                      </w:r>
                    </w:p>
                    <w:p w:rsidR="00E568FC" w:rsidRDefault="00941040" w:rsidP="00F07BC0">
                      <w:pPr>
                        <w:spacing w:after="0"/>
                        <w:ind w:right="-46"/>
                        <w:rPr>
                          <w:rFonts w:cs="Arial"/>
                          <w:b/>
                          <w:bCs/>
                          <w:sz w:val="52"/>
                          <w:szCs w:val="52"/>
                        </w:rPr>
                      </w:pPr>
                      <w:r>
                        <w:rPr>
                          <w:rFonts w:cs="Arial"/>
                          <w:b/>
                          <w:bCs/>
                          <w:sz w:val="52"/>
                          <w:szCs w:val="52"/>
                        </w:rPr>
                        <w:t>The County Council's Capital Financial Position 2018/19 Quarter 1</w:t>
                      </w:r>
                    </w:p>
                    <w:p w:rsidR="00E568FC" w:rsidRPr="0037393E" w:rsidRDefault="00941040" w:rsidP="00F07BC0">
                      <w:pPr>
                        <w:spacing w:after="0"/>
                        <w:ind w:right="-46"/>
                        <w:rPr>
                          <w:rFonts w:cs="Arial"/>
                          <w:b/>
                          <w:bCs/>
                          <w:sz w:val="52"/>
                          <w:szCs w:val="52"/>
                        </w:rPr>
                      </w:pPr>
                    </w:p>
                  </w:txbxContent>
                </v:textbox>
              </v:shape>
            </w:pict>
          </mc:Fallback>
        </mc:AlternateContent>
      </w:r>
    </w:p>
    <w:p w:rsidR="00866D28" w:rsidRDefault="00941040" w:rsidP="00D73342">
      <w:pPr>
        <w:pStyle w:val="ListParagraph"/>
        <w:numPr>
          <w:ilvl w:val="0"/>
          <w:numId w:val="1"/>
        </w:numPr>
        <w:tabs>
          <w:tab w:val="left" w:pos="567"/>
          <w:tab w:val="left" w:pos="1134"/>
        </w:tabs>
        <w:spacing w:after="0"/>
        <w:ind w:left="0" w:firstLine="0"/>
        <w:rPr>
          <w:rFonts w:ascii="Arial" w:hAnsi="Arial" w:cs="Arial"/>
          <w:b/>
          <w:sz w:val="24"/>
          <w:szCs w:val="24"/>
        </w:rPr>
      </w:pPr>
      <w:r>
        <w:rPr>
          <w:rFonts w:ascii="Arial" w:hAnsi="Arial" w:cs="Arial"/>
          <w:b/>
          <w:sz w:val="24"/>
          <w:szCs w:val="24"/>
        </w:rPr>
        <w:lastRenderedPageBreak/>
        <w:t>Summary</w:t>
      </w:r>
    </w:p>
    <w:p w:rsidR="00D51C25" w:rsidRPr="00D51C25" w:rsidRDefault="00941040" w:rsidP="00D51C25">
      <w:pPr>
        <w:tabs>
          <w:tab w:val="left" w:pos="567"/>
          <w:tab w:val="left" w:pos="1134"/>
        </w:tabs>
        <w:spacing w:after="0"/>
        <w:rPr>
          <w:rFonts w:ascii="Arial" w:hAnsi="Arial" w:cs="Arial"/>
          <w:b/>
          <w:sz w:val="24"/>
          <w:szCs w:val="24"/>
        </w:rPr>
      </w:pPr>
    </w:p>
    <w:p w:rsidR="00E568FC" w:rsidRDefault="00941040" w:rsidP="00D51C25">
      <w:pPr>
        <w:tabs>
          <w:tab w:val="left" w:pos="567"/>
          <w:tab w:val="left" w:pos="1134"/>
        </w:tabs>
        <w:spacing w:after="0"/>
        <w:jc w:val="both"/>
        <w:rPr>
          <w:rFonts w:ascii="Arial" w:hAnsi="Arial" w:cs="Arial"/>
          <w:sz w:val="24"/>
          <w:szCs w:val="24"/>
        </w:rPr>
      </w:pPr>
      <w:r>
        <w:rPr>
          <w:rFonts w:ascii="Arial" w:hAnsi="Arial" w:cs="Arial"/>
          <w:sz w:val="24"/>
          <w:szCs w:val="24"/>
        </w:rPr>
        <w:t>The forecast outturn for 2018/19 based on the position at the end of quarter 1 is £111.382m against the proposed 2018/19 capital delivery programme of £114.817m, a variance of £3.435m or c3%.  The variance is the product of a forecast £0.606m net underspen</w:t>
      </w:r>
      <w:r>
        <w:rPr>
          <w:rFonts w:ascii="Arial" w:hAnsi="Arial" w:cs="Arial"/>
          <w:sz w:val="24"/>
          <w:szCs w:val="24"/>
        </w:rPr>
        <w:t xml:space="preserve">d on projects expected to be completed in-year and an identified current risk of £2.828m of the delivery programme being slipped into future years, although plans are being developed to mitigate this risk. </w:t>
      </w:r>
    </w:p>
    <w:p w:rsidR="002241B2" w:rsidRDefault="00941040" w:rsidP="00D51C25">
      <w:pPr>
        <w:tabs>
          <w:tab w:val="left" w:pos="567"/>
          <w:tab w:val="left" w:pos="1134"/>
        </w:tabs>
        <w:spacing w:after="0"/>
        <w:jc w:val="both"/>
        <w:rPr>
          <w:rFonts w:ascii="Arial" w:hAnsi="Arial" w:cs="Arial"/>
          <w:sz w:val="24"/>
          <w:szCs w:val="24"/>
        </w:rPr>
      </w:pPr>
    </w:p>
    <w:p w:rsidR="002241B2" w:rsidRDefault="00941040" w:rsidP="00D51C25">
      <w:pPr>
        <w:tabs>
          <w:tab w:val="left" w:pos="567"/>
          <w:tab w:val="left" w:pos="1134"/>
        </w:tabs>
        <w:spacing w:after="0"/>
        <w:jc w:val="both"/>
        <w:rPr>
          <w:rFonts w:ascii="Arial" w:hAnsi="Arial" w:cs="Arial"/>
          <w:sz w:val="24"/>
          <w:szCs w:val="24"/>
        </w:rPr>
      </w:pPr>
      <w:r>
        <w:rPr>
          <w:rFonts w:ascii="Arial" w:hAnsi="Arial" w:cs="Arial"/>
          <w:sz w:val="24"/>
          <w:szCs w:val="24"/>
        </w:rPr>
        <w:t xml:space="preserve">The multi-year capital programme approved at </w:t>
      </w:r>
      <w:r>
        <w:rPr>
          <w:rFonts w:ascii="Arial" w:hAnsi="Arial" w:cs="Arial"/>
          <w:sz w:val="24"/>
          <w:szCs w:val="24"/>
        </w:rPr>
        <w:t>f</w:t>
      </w:r>
      <w:r>
        <w:rPr>
          <w:rFonts w:ascii="Arial" w:hAnsi="Arial" w:cs="Arial"/>
          <w:sz w:val="24"/>
          <w:szCs w:val="24"/>
        </w:rPr>
        <w:t>ul</w:t>
      </w:r>
      <w:r>
        <w:rPr>
          <w:rFonts w:ascii="Arial" w:hAnsi="Arial" w:cs="Arial"/>
          <w:sz w:val="24"/>
          <w:szCs w:val="24"/>
        </w:rPr>
        <w:t xml:space="preserve">l </w:t>
      </w:r>
      <w:r>
        <w:rPr>
          <w:rFonts w:ascii="Arial" w:hAnsi="Arial" w:cs="Arial"/>
          <w:sz w:val="24"/>
          <w:szCs w:val="24"/>
        </w:rPr>
        <w:t>c</w:t>
      </w:r>
      <w:r>
        <w:rPr>
          <w:rFonts w:ascii="Arial" w:hAnsi="Arial" w:cs="Arial"/>
          <w:sz w:val="24"/>
          <w:szCs w:val="24"/>
        </w:rPr>
        <w:t xml:space="preserve">ouncil on 8 February covering the period 2018/19 to 2020/21 totalled £226.117m with £161.392m identified for delivery in 2018/19.  The 2018/19 delivery programme did not include </w:t>
      </w:r>
      <w:r>
        <w:rPr>
          <w:rFonts w:ascii="Arial" w:hAnsi="Arial" w:cs="Arial"/>
          <w:sz w:val="24"/>
          <w:szCs w:val="24"/>
        </w:rPr>
        <w:t>any slippage</w:t>
      </w:r>
      <w:r>
        <w:rPr>
          <w:rFonts w:ascii="Arial" w:hAnsi="Arial" w:cs="Arial"/>
          <w:sz w:val="24"/>
          <w:szCs w:val="24"/>
        </w:rPr>
        <w:t xml:space="preserve"> arising from outturn variances in 2017/18 and there have also </w:t>
      </w:r>
      <w:r>
        <w:rPr>
          <w:rFonts w:ascii="Arial" w:hAnsi="Arial" w:cs="Arial"/>
          <w:sz w:val="24"/>
          <w:szCs w:val="24"/>
        </w:rPr>
        <w:t xml:space="preserve">been a number of further adjustments to the size and profiling of the capital programme agreed at Cabinet.  </w:t>
      </w:r>
    </w:p>
    <w:p w:rsidR="002241B2" w:rsidRDefault="00941040" w:rsidP="00D51C25">
      <w:pPr>
        <w:tabs>
          <w:tab w:val="left" w:pos="567"/>
          <w:tab w:val="left" w:pos="1134"/>
        </w:tabs>
        <w:spacing w:after="0"/>
        <w:jc w:val="both"/>
        <w:rPr>
          <w:rFonts w:ascii="Arial" w:hAnsi="Arial" w:cs="Arial"/>
          <w:sz w:val="24"/>
          <w:szCs w:val="24"/>
        </w:rPr>
      </w:pPr>
    </w:p>
    <w:p w:rsidR="005062CA"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 xml:space="preserve">Governance of the capital programme has </w:t>
      </w:r>
      <w:r>
        <w:rPr>
          <w:rFonts w:ascii="Arial" w:hAnsi="Arial" w:cs="Arial"/>
          <w:sz w:val="24"/>
          <w:szCs w:val="24"/>
        </w:rPr>
        <w:t xml:space="preserve">also </w:t>
      </w:r>
      <w:r w:rsidRPr="00D51C25">
        <w:rPr>
          <w:rFonts w:ascii="Arial" w:hAnsi="Arial" w:cs="Arial"/>
          <w:sz w:val="24"/>
          <w:szCs w:val="24"/>
        </w:rPr>
        <w:t>been strengthened under the auspices of the Capital Board where responsibility for oversight and chal</w:t>
      </w:r>
      <w:r w:rsidRPr="00D51C25">
        <w:rPr>
          <w:rFonts w:ascii="Arial" w:hAnsi="Arial" w:cs="Arial"/>
          <w:sz w:val="24"/>
          <w:szCs w:val="24"/>
        </w:rPr>
        <w:t>lenge of cost estimates and capital budgets sits.  A comprehens</w:t>
      </w:r>
      <w:r>
        <w:rPr>
          <w:rFonts w:ascii="Arial" w:hAnsi="Arial" w:cs="Arial"/>
          <w:sz w:val="24"/>
          <w:szCs w:val="24"/>
        </w:rPr>
        <w:t xml:space="preserve">ive review of the projects </w:t>
      </w:r>
      <w:r w:rsidRPr="00D51C25">
        <w:rPr>
          <w:rFonts w:ascii="Arial" w:hAnsi="Arial" w:cs="Arial"/>
          <w:sz w:val="24"/>
          <w:szCs w:val="24"/>
        </w:rPr>
        <w:t>for 2018/19</w:t>
      </w:r>
      <w:r>
        <w:rPr>
          <w:rFonts w:ascii="Arial" w:hAnsi="Arial" w:cs="Arial"/>
          <w:sz w:val="24"/>
          <w:szCs w:val="24"/>
        </w:rPr>
        <w:t xml:space="preserve"> including prior year slippage has been undertaken by project and programme managers, supported by finance and commissioning the results of which are detai</w:t>
      </w:r>
      <w:r>
        <w:rPr>
          <w:rFonts w:ascii="Arial" w:hAnsi="Arial" w:cs="Arial"/>
          <w:sz w:val="24"/>
          <w:szCs w:val="24"/>
        </w:rPr>
        <w:t>led in Table 1, the primary purpose of the review was to propose a delivery programme for 2018/19 which will then form the agreed baseline for monitoring purposes.  The review has focused on:</w:t>
      </w:r>
    </w:p>
    <w:p w:rsidR="00D51C25" w:rsidRPr="00D51C25" w:rsidRDefault="00941040" w:rsidP="00D51C25">
      <w:pPr>
        <w:tabs>
          <w:tab w:val="left" w:pos="567"/>
          <w:tab w:val="left" w:pos="1134"/>
        </w:tabs>
        <w:spacing w:after="0"/>
        <w:jc w:val="both"/>
        <w:rPr>
          <w:rFonts w:ascii="Arial" w:hAnsi="Arial" w:cs="Arial"/>
          <w:sz w:val="24"/>
          <w:szCs w:val="24"/>
        </w:rPr>
      </w:pPr>
    </w:p>
    <w:p w:rsidR="005062CA" w:rsidRPr="00D51C25" w:rsidRDefault="00941040" w:rsidP="00D51C25">
      <w:pPr>
        <w:pStyle w:val="ListParagraph"/>
        <w:numPr>
          <w:ilvl w:val="0"/>
          <w:numId w:val="6"/>
        </w:numPr>
        <w:tabs>
          <w:tab w:val="left" w:pos="567"/>
          <w:tab w:val="left" w:pos="1134"/>
        </w:tabs>
        <w:spacing w:after="0"/>
        <w:ind w:left="567" w:hanging="567"/>
        <w:jc w:val="both"/>
        <w:rPr>
          <w:rFonts w:ascii="Arial" w:hAnsi="Arial" w:cs="Arial"/>
          <w:sz w:val="24"/>
          <w:szCs w:val="24"/>
        </w:rPr>
      </w:pPr>
      <w:r>
        <w:rPr>
          <w:rFonts w:ascii="Arial" w:hAnsi="Arial" w:cs="Arial"/>
          <w:sz w:val="24"/>
          <w:szCs w:val="24"/>
        </w:rPr>
        <w:t>Updating</w:t>
      </w:r>
      <w:r w:rsidRPr="00D51C25">
        <w:rPr>
          <w:rFonts w:ascii="Arial" w:hAnsi="Arial" w:cs="Arial"/>
          <w:sz w:val="24"/>
          <w:szCs w:val="24"/>
        </w:rPr>
        <w:t xml:space="preserve"> the delivery programme for 2018/19 informed by the del</w:t>
      </w:r>
      <w:r w:rsidRPr="00D51C25">
        <w:rPr>
          <w:rFonts w:ascii="Arial" w:hAnsi="Arial" w:cs="Arial"/>
          <w:sz w:val="24"/>
          <w:szCs w:val="24"/>
        </w:rPr>
        <w:t>ivery performance in 2017/18 and previous years.</w:t>
      </w:r>
    </w:p>
    <w:p w:rsidR="005062CA" w:rsidRDefault="00941040" w:rsidP="00D51C25">
      <w:pPr>
        <w:pStyle w:val="ListParagraph"/>
        <w:numPr>
          <w:ilvl w:val="0"/>
          <w:numId w:val="6"/>
        </w:numPr>
        <w:tabs>
          <w:tab w:val="left" w:pos="567"/>
          <w:tab w:val="left" w:pos="1134"/>
        </w:tabs>
        <w:spacing w:after="0"/>
        <w:ind w:left="567" w:hanging="567"/>
        <w:jc w:val="both"/>
        <w:rPr>
          <w:rFonts w:ascii="Arial" w:hAnsi="Arial" w:cs="Arial"/>
          <w:sz w:val="24"/>
          <w:szCs w:val="24"/>
        </w:rPr>
      </w:pPr>
      <w:r>
        <w:rPr>
          <w:rFonts w:ascii="Arial" w:hAnsi="Arial" w:cs="Arial"/>
          <w:sz w:val="24"/>
          <w:szCs w:val="24"/>
        </w:rPr>
        <w:t xml:space="preserve">Reviewing </w:t>
      </w:r>
      <w:r w:rsidRPr="00D51C25">
        <w:rPr>
          <w:rFonts w:ascii="Arial" w:hAnsi="Arial" w:cs="Arial"/>
          <w:sz w:val="24"/>
          <w:szCs w:val="24"/>
        </w:rPr>
        <w:t>the level of funding available for unallocated budgets and the requirement for these to be continued to be carried forward.</w:t>
      </w:r>
    </w:p>
    <w:p w:rsidR="00A55770" w:rsidRDefault="00941040" w:rsidP="00D51C25">
      <w:pPr>
        <w:pStyle w:val="ListParagraph"/>
        <w:numPr>
          <w:ilvl w:val="0"/>
          <w:numId w:val="6"/>
        </w:numPr>
        <w:tabs>
          <w:tab w:val="left" w:pos="567"/>
          <w:tab w:val="left" w:pos="1134"/>
        </w:tabs>
        <w:spacing w:after="0"/>
        <w:ind w:left="567" w:hanging="567"/>
        <w:jc w:val="both"/>
        <w:rPr>
          <w:rFonts w:ascii="Arial" w:hAnsi="Arial" w:cs="Arial"/>
          <w:sz w:val="24"/>
          <w:szCs w:val="24"/>
        </w:rPr>
      </w:pPr>
      <w:r w:rsidRPr="00A55770">
        <w:rPr>
          <w:rFonts w:ascii="Arial" w:hAnsi="Arial" w:cs="Arial"/>
          <w:sz w:val="24"/>
          <w:szCs w:val="24"/>
        </w:rPr>
        <w:t>Removal of budgets previously included in 2018/19 which have been carried</w:t>
      </w:r>
      <w:r w:rsidRPr="00A55770">
        <w:rPr>
          <w:rFonts w:ascii="Arial" w:hAnsi="Arial" w:cs="Arial"/>
          <w:sz w:val="24"/>
          <w:szCs w:val="24"/>
        </w:rPr>
        <w:t xml:space="preserve"> forward from previous years where there is no expectation or plan of delivery in 2018/19.  </w:t>
      </w:r>
    </w:p>
    <w:p w:rsidR="00BC15F8" w:rsidRPr="00A55770" w:rsidRDefault="00941040" w:rsidP="00D51C25">
      <w:pPr>
        <w:pStyle w:val="ListParagraph"/>
        <w:numPr>
          <w:ilvl w:val="0"/>
          <w:numId w:val="6"/>
        </w:numPr>
        <w:tabs>
          <w:tab w:val="left" w:pos="567"/>
          <w:tab w:val="left" w:pos="1134"/>
        </w:tabs>
        <w:spacing w:after="0"/>
        <w:ind w:left="567" w:hanging="567"/>
        <w:jc w:val="both"/>
        <w:rPr>
          <w:rFonts w:ascii="Arial" w:hAnsi="Arial" w:cs="Arial"/>
          <w:sz w:val="24"/>
          <w:szCs w:val="24"/>
        </w:rPr>
      </w:pPr>
      <w:r w:rsidRPr="00A55770">
        <w:rPr>
          <w:rFonts w:ascii="Arial" w:hAnsi="Arial" w:cs="Arial"/>
          <w:sz w:val="24"/>
          <w:szCs w:val="24"/>
        </w:rPr>
        <w:t xml:space="preserve">Of the new approved projects a realistic assessment of </w:t>
      </w:r>
      <w:r>
        <w:rPr>
          <w:rFonts w:ascii="Arial" w:hAnsi="Arial" w:cs="Arial"/>
          <w:sz w:val="24"/>
          <w:szCs w:val="24"/>
        </w:rPr>
        <w:t xml:space="preserve">2018/19 </w:t>
      </w:r>
      <w:r w:rsidRPr="00A55770">
        <w:rPr>
          <w:rFonts w:ascii="Arial" w:hAnsi="Arial" w:cs="Arial"/>
          <w:sz w:val="24"/>
          <w:szCs w:val="24"/>
        </w:rPr>
        <w:t xml:space="preserve">deliverability was made with </w:t>
      </w:r>
      <w:r>
        <w:rPr>
          <w:rFonts w:ascii="Arial" w:hAnsi="Arial" w:cs="Arial"/>
          <w:sz w:val="24"/>
          <w:szCs w:val="24"/>
        </w:rPr>
        <w:t xml:space="preserve">delivery timeframes and </w:t>
      </w:r>
      <w:r w:rsidRPr="00A55770">
        <w:rPr>
          <w:rFonts w:ascii="Arial" w:hAnsi="Arial" w:cs="Arial"/>
          <w:sz w:val="24"/>
          <w:szCs w:val="24"/>
        </w:rPr>
        <w:t xml:space="preserve">budgets being moved to future years where appropriate. </w:t>
      </w:r>
    </w:p>
    <w:p w:rsidR="00FB1E05" w:rsidRDefault="00941040" w:rsidP="00FB1E05">
      <w:pPr>
        <w:tabs>
          <w:tab w:val="left" w:pos="567"/>
          <w:tab w:val="left" w:pos="1134"/>
        </w:tabs>
        <w:spacing w:after="0"/>
        <w:jc w:val="both"/>
        <w:rPr>
          <w:rFonts w:ascii="Arial" w:hAnsi="Arial" w:cs="Arial"/>
          <w:sz w:val="24"/>
          <w:szCs w:val="24"/>
        </w:rPr>
      </w:pPr>
    </w:p>
    <w:p w:rsidR="00FB1E05" w:rsidRDefault="00941040" w:rsidP="00FB1E05">
      <w:pPr>
        <w:tabs>
          <w:tab w:val="left" w:pos="567"/>
          <w:tab w:val="left" w:pos="1134"/>
        </w:tabs>
        <w:spacing w:after="0"/>
        <w:jc w:val="both"/>
        <w:rPr>
          <w:rFonts w:ascii="Arial" w:hAnsi="Arial" w:cs="Arial"/>
          <w:sz w:val="24"/>
          <w:szCs w:val="24"/>
        </w:rPr>
      </w:pPr>
      <w:r>
        <w:rPr>
          <w:rFonts w:ascii="Arial" w:hAnsi="Arial" w:cs="Arial"/>
          <w:sz w:val="24"/>
          <w:szCs w:val="24"/>
        </w:rPr>
        <w:t>This gives a proposed delivery programme for 2018/19 which has been risk-assessed as being deliverable and to which project and programme managers will be held accountable using the following actions</w:t>
      </w:r>
      <w:r>
        <w:rPr>
          <w:rFonts w:ascii="Arial" w:hAnsi="Arial" w:cs="Arial"/>
          <w:sz w:val="24"/>
          <w:szCs w:val="24"/>
        </w:rPr>
        <w:t>:</w:t>
      </w:r>
    </w:p>
    <w:p w:rsidR="00FB1E05" w:rsidRPr="00FB1E05" w:rsidRDefault="00941040" w:rsidP="00FB1E05">
      <w:pPr>
        <w:tabs>
          <w:tab w:val="left" w:pos="567"/>
          <w:tab w:val="left" w:pos="1134"/>
        </w:tabs>
        <w:spacing w:after="0"/>
        <w:jc w:val="both"/>
        <w:rPr>
          <w:rFonts w:ascii="Arial" w:hAnsi="Arial" w:cs="Arial"/>
          <w:sz w:val="24"/>
          <w:szCs w:val="24"/>
        </w:rPr>
      </w:pPr>
    </w:p>
    <w:p w:rsidR="005062CA" w:rsidRPr="00D51C25" w:rsidRDefault="00941040" w:rsidP="00D51C25">
      <w:pPr>
        <w:pStyle w:val="ListParagraph"/>
        <w:numPr>
          <w:ilvl w:val="0"/>
          <w:numId w:val="6"/>
        </w:numPr>
        <w:tabs>
          <w:tab w:val="left" w:pos="567"/>
          <w:tab w:val="left" w:pos="1134"/>
        </w:tabs>
        <w:spacing w:after="0"/>
        <w:ind w:left="567" w:hanging="567"/>
        <w:jc w:val="both"/>
        <w:rPr>
          <w:rFonts w:ascii="Arial" w:hAnsi="Arial" w:cs="Arial"/>
          <w:sz w:val="24"/>
          <w:szCs w:val="24"/>
        </w:rPr>
      </w:pPr>
      <w:r w:rsidRPr="00D51C25">
        <w:rPr>
          <w:rFonts w:ascii="Arial" w:hAnsi="Arial" w:cs="Arial"/>
          <w:sz w:val="24"/>
          <w:szCs w:val="24"/>
        </w:rPr>
        <w:t>Detailed monitoring of the delivery programme through 2018/19 to ensure slippage is reported in a timely manner and a robust level of challenge is provided to programme and project managers to ensure delivery remains on track.</w:t>
      </w:r>
    </w:p>
    <w:p w:rsidR="00FC2C4E" w:rsidRPr="00BC15F8" w:rsidRDefault="00941040" w:rsidP="00D51C25">
      <w:pPr>
        <w:pStyle w:val="ListParagraph"/>
        <w:numPr>
          <w:ilvl w:val="0"/>
          <w:numId w:val="6"/>
        </w:numPr>
        <w:tabs>
          <w:tab w:val="left" w:pos="567"/>
          <w:tab w:val="left" w:pos="1134"/>
        </w:tabs>
        <w:spacing w:after="0"/>
        <w:ind w:left="567" w:hanging="567"/>
        <w:jc w:val="both"/>
        <w:rPr>
          <w:rFonts w:ascii="Arial" w:hAnsi="Arial" w:cs="Arial"/>
          <w:sz w:val="24"/>
          <w:szCs w:val="24"/>
        </w:rPr>
      </w:pPr>
      <w:r w:rsidRPr="00D51C25">
        <w:rPr>
          <w:rFonts w:ascii="Arial" w:hAnsi="Arial" w:cs="Arial"/>
          <w:sz w:val="24"/>
          <w:szCs w:val="24"/>
        </w:rPr>
        <w:t>Performance reports develo</w:t>
      </w:r>
      <w:r w:rsidRPr="00D51C25">
        <w:rPr>
          <w:rFonts w:ascii="Arial" w:hAnsi="Arial" w:cs="Arial"/>
          <w:sz w:val="24"/>
          <w:szCs w:val="24"/>
        </w:rPr>
        <w:t>ped to enable the Capital Board to undertake this monitoring and challenge.</w:t>
      </w:r>
      <w:r w:rsidRPr="00BC15F8">
        <w:rPr>
          <w:rFonts w:ascii="Arial" w:hAnsi="Arial" w:cs="Arial"/>
          <w:sz w:val="24"/>
          <w:szCs w:val="24"/>
        </w:rPr>
        <w:t xml:space="preserve">   </w:t>
      </w:r>
    </w:p>
    <w:p w:rsidR="00881833" w:rsidRDefault="00941040" w:rsidP="00D51C25">
      <w:pPr>
        <w:tabs>
          <w:tab w:val="left" w:pos="567"/>
          <w:tab w:val="left" w:pos="1134"/>
        </w:tabs>
        <w:spacing w:after="0"/>
        <w:jc w:val="both"/>
        <w:rPr>
          <w:rFonts w:ascii="Arial" w:hAnsi="Arial" w:cs="Arial"/>
          <w:sz w:val="24"/>
          <w:szCs w:val="24"/>
        </w:rPr>
      </w:pPr>
    </w:p>
    <w:p w:rsidR="00B65298" w:rsidRDefault="00941040" w:rsidP="00D51C25">
      <w:pPr>
        <w:tabs>
          <w:tab w:val="left" w:pos="567"/>
          <w:tab w:val="left" w:pos="1134"/>
        </w:tabs>
        <w:spacing w:after="0"/>
        <w:jc w:val="both"/>
        <w:rPr>
          <w:rFonts w:ascii="Arial" w:hAnsi="Arial" w:cs="Arial"/>
          <w:sz w:val="24"/>
          <w:szCs w:val="24"/>
        </w:rPr>
      </w:pPr>
    </w:p>
    <w:p w:rsidR="00B65298" w:rsidRDefault="00941040" w:rsidP="00D51C25">
      <w:pPr>
        <w:tabs>
          <w:tab w:val="left" w:pos="567"/>
          <w:tab w:val="left" w:pos="1134"/>
        </w:tabs>
        <w:spacing w:after="0"/>
        <w:jc w:val="both"/>
        <w:rPr>
          <w:rFonts w:ascii="Arial" w:hAnsi="Arial" w:cs="Arial"/>
          <w:sz w:val="24"/>
          <w:szCs w:val="24"/>
        </w:rPr>
      </w:pPr>
    </w:p>
    <w:p w:rsidR="00B65298" w:rsidRDefault="00941040" w:rsidP="00D51C25">
      <w:pPr>
        <w:tabs>
          <w:tab w:val="left" w:pos="567"/>
          <w:tab w:val="left" w:pos="1134"/>
        </w:tabs>
        <w:spacing w:after="0"/>
        <w:jc w:val="both"/>
        <w:rPr>
          <w:rFonts w:ascii="Arial" w:hAnsi="Arial" w:cs="Arial"/>
          <w:sz w:val="24"/>
          <w:szCs w:val="24"/>
        </w:rPr>
      </w:pPr>
    </w:p>
    <w:p w:rsidR="00B65298" w:rsidRDefault="00941040" w:rsidP="00D51C25">
      <w:pPr>
        <w:tabs>
          <w:tab w:val="left" w:pos="567"/>
          <w:tab w:val="left" w:pos="1134"/>
        </w:tabs>
        <w:spacing w:after="0"/>
        <w:jc w:val="both"/>
        <w:rPr>
          <w:rFonts w:ascii="Arial" w:hAnsi="Arial" w:cs="Arial"/>
          <w:sz w:val="24"/>
          <w:szCs w:val="24"/>
        </w:rPr>
      </w:pPr>
    </w:p>
    <w:p w:rsidR="00B65298" w:rsidRPr="00EE15E9" w:rsidRDefault="00941040" w:rsidP="00B65298">
      <w:pPr>
        <w:pStyle w:val="ListParagraph"/>
        <w:numPr>
          <w:ilvl w:val="0"/>
          <w:numId w:val="1"/>
        </w:numPr>
        <w:tabs>
          <w:tab w:val="left" w:pos="567"/>
          <w:tab w:val="left" w:pos="1134"/>
        </w:tabs>
        <w:spacing w:after="0"/>
        <w:jc w:val="both"/>
        <w:rPr>
          <w:rFonts w:ascii="Arial" w:hAnsi="Arial" w:cs="Arial"/>
          <w:b/>
          <w:sz w:val="24"/>
          <w:szCs w:val="24"/>
        </w:rPr>
      </w:pPr>
      <w:r w:rsidRPr="00EE15E9">
        <w:rPr>
          <w:rFonts w:ascii="Arial" w:hAnsi="Arial" w:cs="Arial"/>
          <w:b/>
          <w:sz w:val="24"/>
          <w:szCs w:val="24"/>
        </w:rPr>
        <w:lastRenderedPageBreak/>
        <w:t>Quarter 1 Monitoring</w:t>
      </w:r>
    </w:p>
    <w:p w:rsidR="00B65298" w:rsidRPr="00B65298" w:rsidRDefault="00941040" w:rsidP="00B65298">
      <w:pPr>
        <w:pStyle w:val="ListParagraph"/>
        <w:tabs>
          <w:tab w:val="left" w:pos="567"/>
          <w:tab w:val="left" w:pos="1134"/>
        </w:tabs>
        <w:spacing w:after="0"/>
        <w:ind w:left="360"/>
        <w:jc w:val="both"/>
        <w:rPr>
          <w:rFonts w:ascii="Arial" w:hAnsi="Arial" w:cs="Arial"/>
          <w:sz w:val="24"/>
          <w:szCs w:val="24"/>
        </w:rPr>
      </w:pPr>
    </w:p>
    <w:p w:rsidR="00A55770"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 xml:space="preserve">Table </w:t>
      </w:r>
      <w:r>
        <w:rPr>
          <w:rFonts w:ascii="Arial" w:hAnsi="Arial" w:cs="Arial"/>
          <w:sz w:val="24"/>
          <w:szCs w:val="24"/>
        </w:rPr>
        <w:t>1</w:t>
      </w:r>
      <w:r w:rsidRPr="00D51C25">
        <w:rPr>
          <w:rFonts w:ascii="Arial" w:hAnsi="Arial" w:cs="Arial"/>
          <w:sz w:val="24"/>
          <w:szCs w:val="24"/>
        </w:rPr>
        <w:t xml:space="preserve"> shows the </w:t>
      </w:r>
      <w:r>
        <w:rPr>
          <w:rFonts w:ascii="Arial" w:hAnsi="Arial" w:cs="Arial"/>
          <w:sz w:val="24"/>
          <w:szCs w:val="24"/>
        </w:rPr>
        <w:t xml:space="preserve">original and </w:t>
      </w:r>
      <w:r w:rsidRPr="00D51C25">
        <w:rPr>
          <w:rFonts w:ascii="Arial" w:hAnsi="Arial" w:cs="Arial"/>
          <w:sz w:val="24"/>
          <w:szCs w:val="24"/>
        </w:rPr>
        <w:t xml:space="preserve">proposed </w:t>
      </w:r>
      <w:r>
        <w:rPr>
          <w:rFonts w:ascii="Arial" w:hAnsi="Arial" w:cs="Arial"/>
          <w:sz w:val="24"/>
          <w:szCs w:val="24"/>
        </w:rPr>
        <w:t xml:space="preserve">2018/19 capital delivery programme by service blocks </w:t>
      </w:r>
      <w:r w:rsidRPr="00D51C25">
        <w:rPr>
          <w:rFonts w:ascii="Arial" w:hAnsi="Arial" w:cs="Arial"/>
          <w:sz w:val="24"/>
          <w:szCs w:val="24"/>
        </w:rPr>
        <w:t xml:space="preserve">and the current forecast </w:t>
      </w:r>
      <w:r>
        <w:rPr>
          <w:rFonts w:ascii="Arial" w:hAnsi="Arial" w:cs="Arial"/>
          <w:sz w:val="24"/>
          <w:szCs w:val="24"/>
        </w:rPr>
        <w:t>outturn position</w:t>
      </w:r>
      <w:r w:rsidRPr="00D51C25">
        <w:rPr>
          <w:rFonts w:ascii="Arial" w:hAnsi="Arial" w:cs="Arial"/>
          <w:sz w:val="24"/>
          <w:szCs w:val="24"/>
        </w:rPr>
        <w:t xml:space="preserve"> resulting from the monitoring review undertaken based on the posi</w:t>
      </w:r>
      <w:r>
        <w:rPr>
          <w:rFonts w:ascii="Arial" w:hAnsi="Arial" w:cs="Arial"/>
          <w:sz w:val="24"/>
          <w:szCs w:val="24"/>
        </w:rPr>
        <w:t xml:space="preserve">tion at the end of quarter 1.  </w:t>
      </w:r>
    </w:p>
    <w:p w:rsidR="00A55770" w:rsidRDefault="00941040" w:rsidP="00D51C25">
      <w:pPr>
        <w:tabs>
          <w:tab w:val="left" w:pos="567"/>
          <w:tab w:val="left" w:pos="1134"/>
        </w:tabs>
        <w:spacing w:after="0"/>
        <w:jc w:val="both"/>
        <w:rPr>
          <w:rFonts w:ascii="Arial" w:hAnsi="Arial" w:cs="Arial"/>
          <w:sz w:val="24"/>
          <w:szCs w:val="24"/>
        </w:rPr>
      </w:pPr>
    </w:p>
    <w:p w:rsidR="000156CD" w:rsidRDefault="00941040" w:rsidP="00D51C25">
      <w:pPr>
        <w:pStyle w:val="ListParagraph"/>
        <w:tabs>
          <w:tab w:val="left" w:pos="567"/>
          <w:tab w:val="left" w:pos="1134"/>
        </w:tabs>
        <w:spacing w:after="0"/>
        <w:ind w:left="0"/>
        <w:jc w:val="both"/>
        <w:rPr>
          <w:rFonts w:ascii="Arial" w:hAnsi="Arial" w:cs="Arial"/>
          <w:sz w:val="24"/>
          <w:szCs w:val="24"/>
        </w:rPr>
      </w:pPr>
      <w:r w:rsidRPr="00D51C25">
        <w:rPr>
          <w:rFonts w:ascii="Arial" w:hAnsi="Arial" w:cs="Arial"/>
          <w:sz w:val="24"/>
          <w:szCs w:val="24"/>
        </w:rPr>
        <w:t>A new block has been added for externally funded schemes (S106 and S278 developer payments)</w:t>
      </w:r>
      <w:r>
        <w:rPr>
          <w:rFonts w:ascii="Arial" w:hAnsi="Arial" w:cs="Arial"/>
          <w:sz w:val="24"/>
          <w:szCs w:val="24"/>
        </w:rPr>
        <w:t>. T</w:t>
      </w:r>
      <w:r w:rsidRPr="00D51C25">
        <w:rPr>
          <w:rFonts w:ascii="Arial" w:hAnsi="Arial" w:cs="Arial"/>
          <w:sz w:val="24"/>
          <w:szCs w:val="24"/>
        </w:rPr>
        <w:t>hese have previously been included within the Transport or High</w:t>
      </w:r>
      <w:r w:rsidRPr="00D51C25">
        <w:rPr>
          <w:rFonts w:ascii="Arial" w:hAnsi="Arial" w:cs="Arial"/>
          <w:sz w:val="24"/>
          <w:szCs w:val="24"/>
        </w:rPr>
        <w:t>ways block but as they are at the control of external parties can distort the performance figures reported for LCC schemes.</w:t>
      </w:r>
    </w:p>
    <w:p w:rsidR="00D51C25" w:rsidRPr="00D51C25" w:rsidRDefault="00941040" w:rsidP="00D51C25">
      <w:pPr>
        <w:pStyle w:val="ListParagraph"/>
        <w:tabs>
          <w:tab w:val="left" w:pos="567"/>
          <w:tab w:val="left" w:pos="1134"/>
        </w:tabs>
        <w:spacing w:after="0"/>
        <w:ind w:left="0"/>
        <w:jc w:val="both"/>
        <w:rPr>
          <w:rFonts w:ascii="Arial" w:hAnsi="Arial" w:cs="Arial"/>
          <w:sz w:val="24"/>
          <w:szCs w:val="24"/>
        </w:rPr>
      </w:pPr>
    </w:p>
    <w:p w:rsidR="00E344F3" w:rsidRDefault="00941040" w:rsidP="00D51C25">
      <w:pPr>
        <w:tabs>
          <w:tab w:val="left" w:pos="567"/>
          <w:tab w:val="left" w:pos="1134"/>
        </w:tabs>
        <w:spacing w:after="0"/>
        <w:rPr>
          <w:rFonts w:ascii="Arial" w:hAnsi="Arial" w:cs="Arial"/>
          <w:b/>
          <w:sz w:val="24"/>
          <w:szCs w:val="24"/>
        </w:rPr>
      </w:pPr>
      <w:r w:rsidRPr="00D51C25">
        <w:rPr>
          <w:rFonts w:ascii="Arial" w:hAnsi="Arial" w:cs="Arial"/>
          <w:b/>
          <w:sz w:val="24"/>
          <w:szCs w:val="24"/>
        </w:rPr>
        <w:t xml:space="preserve">Table </w:t>
      </w:r>
      <w:r>
        <w:rPr>
          <w:rFonts w:ascii="Arial" w:hAnsi="Arial" w:cs="Arial"/>
          <w:b/>
          <w:sz w:val="24"/>
          <w:szCs w:val="24"/>
        </w:rPr>
        <w:t>1</w:t>
      </w:r>
      <w:r w:rsidRPr="00D51C25">
        <w:rPr>
          <w:rFonts w:ascii="Arial" w:hAnsi="Arial" w:cs="Arial"/>
          <w:b/>
          <w:sz w:val="24"/>
          <w:szCs w:val="24"/>
        </w:rPr>
        <w:t xml:space="preserve"> - 2018/19 Delivery Programme </w:t>
      </w:r>
      <w:r>
        <w:rPr>
          <w:rFonts w:ascii="Arial" w:hAnsi="Arial" w:cs="Arial"/>
          <w:b/>
          <w:sz w:val="24"/>
          <w:szCs w:val="24"/>
        </w:rPr>
        <w:t>and Forecast Outturn</w:t>
      </w:r>
    </w:p>
    <w:p w:rsidR="00D51C25" w:rsidRDefault="00941040" w:rsidP="00D51C25">
      <w:pPr>
        <w:tabs>
          <w:tab w:val="left" w:pos="567"/>
          <w:tab w:val="left" w:pos="1134"/>
        </w:tabs>
        <w:spacing w:after="0"/>
        <w:rPr>
          <w:rFonts w:ascii="Arial" w:hAnsi="Arial" w:cs="Arial"/>
          <w:b/>
          <w:sz w:val="24"/>
          <w:szCs w:val="24"/>
        </w:rPr>
      </w:pPr>
    </w:p>
    <w:tbl>
      <w:tblPr>
        <w:tblStyle w:val="TableGrid"/>
        <w:tblW w:w="9628" w:type="dxa"/>
        <w:tblLook w:val="04A0" w:firstRow="1" w:lastRow="0" w:firstColumn="1" w:lastColumn="0" w:noHBand="0" w:noVBand="1"/>
      </w:tblPr>
      <w:tblGrid>
        <w:gridCol w:w="3233"/>
        <w:gridCol w:w="1724"/>
        <w:gridCol w:w="1559"/>
        <w:gridCol w:w="1671"/>
        <w:gridCol w:w="1441"/>
      </w:tblGrid>
      <w:tr w:rsidR="00F37D77" w:rsidTr="00DD5FAC">
        <w:tc>
          <w:tcPr>
            <w:tcW w:w="3233" w:type="dxa"/>
          </w:tcPr>
          <w:p w:rsidR="002241B2" w:rsidRDefault="00941040" w:rsidP="00793EE3">
            <w:pPr>
              <w:tabs>
                <w:tab w:val="left" w:pos="567"/>
                <w:tab w:val="left" w:pos="1134"/>
              </w:tabs>
              <w:jc w:val="center"/>
              <w:rPr>
                <w:rFonts w:ascii="Arial" w:hAnsi="Arial" w:cs="Arial"/>
                <w:b/>
                <w:sz w:val="24"/>
                <w:szCs w:val="24"/>
              </w:rPr>
            </w:pPr>
            <w:r>
              <w:rPr>
                <w:rFonts w:ascii="Arial" w:hAnsi="Arial" w:cs="Arial"/>
                <w:b/>
                <w:sz w:val="24"/>
                <w:szCs w:val="24"/>
              </w:rPr>
              <w:t>Service Area</w:t>
            </w:r>
          </w:p>
        </w:tc>
        <w:tc>
          <w:tcPr>
            <w:tcW w:w="1724" w:type="dxa"/>
          </w:tcPr>
          <w:p w:rsidR="002241B2" w:rsidRDefault="00941040" w:rsidP="00793EE3">
            <w:pPr>
              <w:tabs>
                <w:tab w:val="left" w:pos="567"/>
                <w:tab w:val="left" w:pos="1134"/>
              </w:tabs>
              <w:jc w:val="center"/>
              <w:rPr>
                <w:rFonts w:ascii="Arial" w:hAnsi="Arial" w:cs="Arial"/>
                <w:b/>
                <w:sz w:val="24"/>
                <w:szCs w:val="24"/>
              </w:rPr>
            </w:pPr>
            <w:r>
              <w:rPr>
                <w:rFonts w:ascii="Arial" w:hAnsi="Arial" w:cs="Arial"/>
                <w:b/>
                <w:sz w:val="24"/>
                <w:szCs w:val="24"/>
              </w:rPr>
              <w:t xml:space="preserve">Original 2018/19 Delivery Programme agreed at Full Council </w:t>
            </w:r>
          </w:p>
          <w:p w:rsidR="002241B2" w:rsidRDefault="00941040" w:rsidP="00793EE3">
            <w:pPr>
              <w:tabs>
                <w:tab w:val="left" w:pos="567"/>
                <w:tab w:val="left" w:pos="1134"/>
              </w:tabs>
              <w:jc w:val="center"/>
              <w:rPr>
                <w:rFonts w:ascii="Arial" w:hAnsi="Arial" w:cs="Arial"/>
                <w:b/>
                <w:sz w:val="24"/>
                <w:szCs w:val="24"/>
              </w:rPr>
            </w:pPr>
            <w:r>
              <w:rPr>
                <w:rFonts w:ascii="Arial" w:hAnsi="Arial" w:cs="Arial"/>
                <w:b/>
                <w:sz w:val="24"/>
                <w:szCs w:val="24"/>
              </w:rPr>
              <w:t>8 Feb 2018</w:t>
            </w:r>
          </w:p>
        </w:tc>
        <w:tc>
          <w:tcPr>
            <w:tcW w:w="1559" w:type="dxa"/>
          </w:tcPr>
          <w:p w:rsidR="002241B2" w:rsidRDefault="00941040" w:rsidP="00793EE3">
            <w:pPr>
              <w:tabs>
                <w:tab w:val="left" w:pos="567"/>
                <w:tab w:val="left" w:pos="1134"/>
              </w:tabs>
              <w:jc w:val="center"/>
              <w:rPr>
                <w:rFonts w:ascii="Arial" w:hAnsi="Arial" w:cs="Arial"/>
                <w:b/>
                <w:sz w:val="24"/>
                <w:szCs w:val="24"/>
              </w:rPr>
            </w:pPr>
            <w:r>
              <w:rPr>
                <w:rFonts w:ascii="Arial" w:hAnsi="Arial" w:cs="Arial"/>
                <w:b/>
                <w:sz w:val="24"/>
                <w:szCs w:val="24"/>
              </w:rPr>
              <w:t>Total forecast 2018/19 Delivery Programme</w:t>
            </w:r>
          </w:p>
          <w:p w:rsidR="002241B2" w:rsidRDefault="00941040" w:rsidP="00793EE3">
            <w:pPr>
              <w:tabs>
                <w:tab w:val="left" w:pos="567"/>
                <w:tab w:val="left" w:pos="1134"/>
              </w:tabs>
              <w:jc w:val="center"/>
              <w:rPr>
                <w:rFonts w:ascii="Arial" w:hAnsi="Arial" w:cs="Arial"/>
                <w:b/>
                <w:sz w:val="24"/>
                <w:szCs w:val="24"/>
              </w:rPr>
            </w:pPr>
            <w:r>
              <w:rPr>
                <w:rFonts w:ascii="Arial" w:hAnsi="Arial" w:cs="Arial"/>
                <w:b/>
                <w:sz w:val="24"/>
                <w:szCs w:val="24"/>
              </w:rPr>
              <w:t>£m</w:t>
            </w:r>
          </w:p>
        </w:tc>
        <w:tc>
          <w:tcPr>
            <w:tcW w:w="1671" w:type="dxa"/>
          </w:tcPr>
          <w:p w:rsidR="002241B2" w:rsidRDefault="00941040" w:rsidP="00793EE3">
            <w:pPr>
              <w:tabs>
                <w:tab w:val="left" w:pos="567"/>
                <w:tab w:val="left" w:pos="1134"/>
              </w:tabs>
              <w:jc w:val="center"/>
              <w:rPr>
                <w:rFonts w:ascii="Arial" w:hAnsi="Arial" w:cs="Arial"/>
                <w:b/>
                <w:sz w:val="24"/>
                <w:szCs w:val="24"/>
              </w:rPr>
            </w:pPr>
            <w:r>
              <w:rPr>
                <w:rFonts w:ascii="Arial" w:hAnsi="Arial" w:cs="Arial"/>
                <w:b/>
                <w:sz w:val="24"/>
                <w:szCs w:val="24"/>
              </w:rPr>
              <w:t>Total Forecast 2018/19 Expenditure</w:t>
            </w:r>
          </w:p>
          <w:p w:rsidR="002241B2" w:rsidRDefault="00941040" w:rsidP="00793EE3">
            <w:pPr>
              <w:tabs>
                <w:tab w:val="left" w:pos="567"/>
                <w:tab w:val="left" w:pos="1134"/>
              </w:tabs>
              <w:jc w:val="center"/>
              <w:rPr>
                <w:rFonts w:ascii="Arial" w:hAnsi="Arial" w:cs="Arial"/>
                <w:b/>
                <w:sz w:val="24"/>
                <w:szCs w:val="24"/>
              </w:rPr>
            </w:pPr>
            <w:r>
              <w:rPr>
                <w:rFonts w:ascii="Arial" w:hAnsi="Arial" w:cs="Arial"/>
                <w:b/>
                <w:sz w:val="24"/>
                <w:szCs w:val="24"/>
              </w:rPr>
              <w:t>£m</w:t>
            </w:r>
          </w:p>
        </w:tc>
        <w:tc>
          <w:tcPr>
            <w:tcW w:w="1441" w:type="dxa"/>
          </w:tcPr>
          <w:p w:rsidR="002241B2" w:rsidRDefault="00941040" w:rsidP="00793EE3">
            <w:pPr>
              <w:tabs>
                <w:tab w:val="left" w:pos="567"/>
                <w:tab w:val="left" w:pos="1134"/>
              </w:tabs>
              <w:jc w:val="center"/>
              <w:rPr>
                <w:rFonts w:ascii="Arial" w:hAnsi="Arial" w:cs="Arial"/>
                <w:b/>
                <w:sz w:val="24"/>
                <w:szCs w:val="24"/>
              </w:rPr>
            </w:pPr>
            <w:r>
              <w:rPr>
                <w:rFonts w:ascii="Arial" w:hAnsi="Arial" w:cs="Arial"/>
                <w:b/>
                <w:sz w:val="24"/>
                <w:szCs w:val="24"/>
              </w:rPr>
              <w:t>Variance</w:t>
            </w:r>
          </w:p>
          <w:p w:rsidR="002241B2" w:rsidRDefault="00941040" w:rsidP="00793EE3">
            <w:pPr>
              <w:tabs>
                <w:tab w:val="left" w:pos="567"/>
                <w:tab w:val="left" w:pos="1134"/>
              </w:tabs>
              <w:jc w:val="center"/>
              <w:rPr>
                <w:rFonts w:ascii="Arial" w:hAnsi="Arial" w:cs="Arial"/>
                <w:b/>
                <w:sz w:val="24"/>
                <w:szCs w:val="24"/>
              </w:rPr>
            </w:pPr>
          </w:p>
          <w:p w:rsidR="002241B2" w:rsidRDefault="00941040" w:rsidP="00793EE3">
            <w:pPr>
              <w:tabs>
                <w:tab w:val="left" w:pos="567"/>
                <w:tab w:val="left" w:pos="1134"/>
              </w:tabs>
              <w:jc w:val="center"/>
              <w:rPr>
                <w:rFonts w:ascii="Arial" w:hAnsi="Arial" w:cs="Arial"/>
                <w:b/>
                <w:sz w:val="24"/>
                <w:szCs w:val="24"/>
              </w:rPr>
            </w:pPr>
          </w:p>
          <w:p w:rsidR="002241B2" w:rsidRDefault="00941040" w:rsidP="00793EE3">
            <w:pPr>
              <w:tabs>
                <w:tab w:val="left" w:pos="567"/>
                <w:tab w:val="left" w:pos="1134"/>
              </w:tabs>
              <w:jc w:val="center"/>
              <w:rPr>
                <w:rFonts w:ascii="Arial" w:hAnsi="Arial" w:cs="Arial"/>
                <w:b/>
                <w:sz w:val="24"/>
                <w:szCs w:val="24"/>
              </w:rPr>
            </w:pPr>
            <w:r>
              <w:rPr>
                <w:rFonts w:ascii="Arial" w:hAnsi="Arial" w:cs="Arial"/>
                <w:b/>
                <w:sz w:val="24"/>
                <w:szCs w:val="24"/>
              </w:rPr>
              <w:t>£m</w:t>
            </w:r>
          </w:p>
        </w:tc>
      </w:tr>
      <w:tr w:rsidR="00F37D77" w:rsidTr="00DD5FAC">
        <w:tc>
          <w:tcPr>
            <w:tcW w:w="3233" w:type="dxa"/>
          </w:tcPr>
          <w:p w:rsidR="002241B2" w:rsidRPr="00793EE3" w:rsidRDefault="00941040" w:rsidP="00793EE3">
            <w:pPr>
              <w:tabs>
                <w:tab w:val="left" w:pos="567"/>
                <w:tab w:val="left" w:pos="1134"/>
              </w:tabs>
              <w:spacing w:before="40" w:after="40"/>
              <w:rPr>
                <w:rFonts w:ascii="Arial" w:hAnsi="Arial" w:cs="Arial"/>
                <w:sz w:val="24"/>
                <w:szCs w:val="24"/>
              </w:rPr>
            </w:pPr>
            <w:r>
              <w:rPr>
                <w:rFonts w:ascii="Arial" w:hAnsi="Arial" w:cs="Arial"/>
                <w:sz w:val="24"/>
                <w:szCs w:val="24"/>
              </w:rPr>
              <w:t>Schools (exc DFC)</w:t>
            </w:r>
          </w:p>
        </w:tc>
        <w:tc>
          <w:tcPr>
            <w:tcW w:w="1724"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32.612</w:t>
            </w:r>
          </w:p>
        </w:tc>
        <w:tc>
          <w:tcPr>
            <w:tcW w:w="1559"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22.827</w:t>
            </w:r>
          </w:p>
        </w:tc>
        <w:tc>
          <w:tcPr>
            <w:tcW w:w="1671"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21.194</w:t>
            </w:r>
          </w:p>
        </w:tc>
        <w:tc>
          <w:tcPr>
            <w:tcW w:w="1441"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-1.633</w:t>
            </w:r>
          </w:p>
        </w:tc>
      </w:tr>
      <w:tr w:rsidR="00F37D77" w:rsidTr="00DD5FAC">
        <w:tc>
          <w:tcPr>
            <w:tcW w:w="3233" w:type="dxa"/>
          </w:tcPr>
          <w:p w:rsidR="002241B2" w:rsidRPr="00793EE3" w:rsidRDefault="00941040" w:rsidP="00793EE3">
            <w:pPr>
              <w:tabs>
                <w:tab w:val="left" w:pos="567"/>
                <w:tab w:val="left" w:pos="1134"/>
              </w:tabs>
              <w:spacing w:before="40" w:after="40"/>
              <w:rPr>
                <w:rFonts w:ascii="Arial" w:hAnsi="Arial" w:cs="Arial"/>
                <w:sz w:val="24"/>
                <w:szCs w:val="24"/>
              </w:rPr>
            </w:pPr>
            <w:r>
              <w:rPr>
                <w:rFonts w:ascii="Arial" w:hAnsi="Arial" w:cs="Arial"/>
                <w:sz w:val="24"/>
                <w:szCs w:val="24"/>
              </w:rPr>
              <w:t>Schools DFC</w:t>
            </w:r>
          </w:p>
        </w:tc>
        <w:tc>
          <w:tcPr>
            <w:tcW w:w="1724"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5.156</w:t>
            </w:r>
          </w:p>
        </w:tc>
        <w:tc>
          <w:tcPr>
            <w:tcW w:w="1559"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2.767</w:t>
            </w:r>
          </w:p>
        </w:tc>
        <w:tc>
          <w:tcPr>
            <w:tcW w:w="1671"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2.767</w:t>
            </w:r>
          </w:p>
        </w:tc>
        <w:tc>
          <w:tcPr>
            <w:tcW w:w="1441"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w:t>
            </w:r>
          </w:p>
        </w:tc>
      </w:tr>
      <w:tr w:rsidR="00F37D77" w:rsidTr="00DD5FAC">
        <w:tc>
          <w:tcPr>
            <w:tcW w:w="3233" w:type="dxa"/>
          </w:tcPr>
          <w:p w:rsidR="002241B2" w:rsidRPr="00793EE3" w:rsidRDefault="00941040" w:rsidP="00793EE3">
            <w:pPr>
              <w:tabs>
                <w:tab w:val="left" w:pos="567"/>
                <w:tab w:val="left" w:pos="1134"/>
              </w:tabs>
              <w:spacing w:before="40" w:after="40"/>
              <w:rPr>
                <w:rFonts w:ascii="Arial" w:hAnsi="Arial" w:cs="Arial"/>
                <w:sz w:val="24"/>
                <w:szCs w:val="24"/>
              </w:rPr>
            </w:pPr>
            <w:r>
              <w:rPr>
                <w:rFonts w:ascii="Arial" w:hAnsi="Arial" w:cs="Arial"/>
                <w:sz w:val="24"/>
                <w:szCs w:val="24"/>
              </w:rPr>
              <w:t>Children and Young People</w:t>
            </w:r>
          </w:p>
        </w:tc>
        <w:tc>
          <w:tcPr>
            <w:tcW w:w="1724"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4.560</w:t>
            </w:r>
          </w:p>
        </w:tc>
        <w:tc>
          <w:tcPr>
            <w:tcW w:w="1559"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0.644</w:t>
            </w:r>
          </w:p>
        </w:tc>
        <w:tc>
          <w:tcPr>
            <w:tcW w:w="1671"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0.657</w:t>
            </w:r>
          </w:p>
        </w:tc>
        <w:tc>
          <w:tcPr>
            <w:tcW w:w="1441"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0.013</w:t>
            </w:r>
          </w:p>
        </w:tc>
      </w:tr>
      <w:tr w:rsidR="00F37D77" w:rsidTr="00DD5FAC">
        <w:tc>
          <w:tcPr>
            <w:tcW w:w="3233" w:type="dxa"/>
          </w:tcPr>
          <w:p w:rsidR="002241B2" w:rsidRPr="00793EE3" w:rsidRDefault="00941040" w:rsidP="00793EE3">
            <w:pPr>
              <w:tabs>
                <w:tab w:val="left" w:pos="567"/>
                <w:tab w:val="left" w:pos="1134"/>
              </w:tabs>
              <w:spacing w:before="40" w:after="40"/>
              <w:rPr>
                <w:rFonts w:ascii="Arial" w:hAnsi="Arial" w:cs="Arial"/>
                <w:sz w:val="24"/>
                <w:szCs w:val="24"/>
              </w:rPr>
            </w:pPr>
            <w:r>
              <w:rPr>
                <w:rFonts w:ascii="Arial" w:hAnsi="Arial" w:cs="Arial"/>
                <w:sz w:val="24"/>
                <w:szCs w:val="24"/>
              </w:rPr>
              <w:t>Highways</w:t>
            </w:r>
          </w:p>
        </w:tc>
        <w:tc>
          <w:tcPr>
            <w:tcW w:w="1724"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53.415</w:t>
            </w:r>
          </w:p>
        </w:tc>
        <w:tc>
          <w:tcPr>
            <w:tcW w:w="1559"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45.484</w:t>
            </w:r>
          </w:p>
        </w:tc>
        <w:tc>
          <w:tcPr>
            <w:tcW w:w="1671"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45.984</w:t>
            </w:r>
          </w:p>
        </w:tc>
        <w:tc>
          <w:tcPr>
            <w:tcW w:w="1441"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0.500</w:t>
            </w:r>
          </w:p>
        </w:tc>
      </w:tr>
      <w:tr w:rsidR="00F37D77" w:rsidTr="00DD5FAC">
        <w:tc>
          <w:tcPr>
            <w:tcW w:w="3233" w:type="dxa"/>
          </w:tcPr>
          <w:p w:rsidR="002241B2" w:rsidRPr="00793EE3" w:rsidRDefault="00941040" w:rsidP="00793EE3">
            <w:pPr>
              <w:tabs>
                <w:tab w:val="left" w:pos="567"/>
                <w:tab w:val="left" w:pos="1134"/>
              </w:tabs>
              <w:spacing w:before="40" w:after="40"/>
              <w:rPr>
                <w:rFonts w:ascii="Arial" w:hAnsi="Arial" w:cs="Arial"/>
                <w:sz w:val="24"/>
                <w:szCs w:val="24"/>
              </w:rPr>
            </w:pPr>
            <w:r>
              <w:rPr>
                <w:rFonts w:ascii="Arial" w:hAnsi="Arial" w:cs="Arial"/>
                <w:sz w:val="24"/>
                <w:szCs w:val="24"/>
              </w:rPr>
              <w:t>Transport</w:t>
            </w:r>
          </w:p>
        </w:tc>
        <w:tc>
          <w:tcPr>
            <w:tcW w:w="1724"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25.692</w:t>
            </w:r>
          </w:p>
        </w:tc>
        <w:tc>
          <w:tcPr>
            <w:tcW w:w="1559"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13.912</w:t>
            </w:r>
          </w:p>
        </w:tc>
        <w:tc>
          <w:tcPr>
            <w:tcW w:w="1671"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13.912</w:t>
            </w:r>
          </w:p>
        </w:tc>
        <w:tc>
          <w:tcPr>
            <w:tcW w:w="1441"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w:t>
            </w:r>
          </w:p>
        </w:tc>
      </w:tr>
      <w:tr w:rsidR="00F37D77" w:rsidTr="00DD5FAC">
        <w:tc>
          <w:tcPr>
            <w:tcW w:w="3233" w:type="dxa"/>
          </w:tcPr>
          <w:p w:rsidR="002241B2" w:rsidRPr="00793EE3" w:rsidRDefault="00941040" w:rsidP="00793EE3">
            <w:pPr>
              <w:tabs>
                <w:tab w:val="left" w:pos="567"/>
                <w:tab w:val="left" w:pos="1134"/>
              </w:tabs>
              <w:spacing w:before="40" w:after="40"/>
              <w:rPr>
                <w:rFonts w:ascii="Arial" w:hAnsi="Arial" w:cs="Arial"/>
                <w:sz w:val="24"/>
                <w:szCs w:val="24"/>
              </w:rPr>
            </w:pPr>
            <w:r>
              <w:rPr>
                <w:rFonts w:ascii="Arial" w:hAnsi="Arial" w:cs="Arial"/>
                <w:sz w:val="24"/>
                <w:szCs w:val="24"/>
              </w:rPr>
              <w:t>Externally Funded</w:t>
            </w:r>
          </w:p>
        </w:tc>
        <w:tc>
          <w:tcPr>
            <w:tcW w:w="1724" w:type="dxa"/>
          </w:tcPr>
          <w:p w:rsidR="002241B2" w:rsidRDefault="00941040" w:rsidP="00793EE3">
            <w:pPr>
              <w:tabs>
                <w:tab w:val="left" w:pos="567"/>
                <w:tab w:val="left" w:pos="1134"/>
              </w:tabs>
              <w:spacing w:before="40" w:after="40"/>
              <w:ind w:right="317"/>
              <w:jc w:val="right"/>
              <w:rPr>
                <w:rFonts w:ascii="Arial" w:hAnsi="Arial" w:cs="Arial"/>
                <w:sz w:val="24"/>
                <w:szCs w:val="24"/>
              </w:rPr>
            </w:pPr>
          </w:p>
        </w:tc>
        <w:tc>
          <w:tcPr>
            <w:tcW w:w="1559"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0.600</w:t>
            </w:r>
          </w:p>
        </w:tc>
        <w:tc>
          <w:tcPr>
            <w:tcW w:w="1671"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0.600</w:t>
            </w:r>
          </w:p>
        </w:tc>
        <w:tc>
          <w:tcPr>
            <w:tcW w:w="1441"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w:t>
            </w:r>
          </w:p>
        </w:tc>
      </w:tr>
      <w:tr w:rsidR="00F37D77" w:rsidTr="00DD5FAC">
        <w:tc>
          <w:tcPr>
            <w:tcW w:w="3233" w:type="dxa"/>
          </w:tcPr>
          <w:p w:rsidR="002241B2" w:rsidRPr="00793EE3" w:rsidRDefault="00941040" w:rsidP="00793EE3">
            <w:pPr>
              <w:tabs>
                <w:tab w:val="left" w:pos="567"/>
                <w:tab w:val="left" w:pos="1134"/>
              </w:tabs>
              <w:spacing w:before="40" w:after="40"/>
              <w:rPr>
                <w:rFonts w:ascii="Arial" w:hAnsi="Arial" w:cs="Arial"/>
                <w:sz w:val="24"/>
                <w:szCs w:val="24"/>
              </w:rPr>
            </w:pPr>
            <w:r>
              <w:rPr>
                <w:rFonts w:ascii="Arial" w:hAnsi="Arial" w:cs="Arial"/>
                <w:sz w:val="24"/>
                <w:szCs w:val="24"/>
              </w:rPr>
              <w:t>Waste and Other</w:t>
            </w:r>
          </w:p>
        </w:tc>
        <w:tc>
          <w:tcPr>
            <w:tcW w:w="1724"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0.100</w:t>
            </w:r>
          </w:p>
        </w:tc>
        <w:tc>
          <w:tcPr>
            <w:tcW w:w="1559"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0.677</w:t>
            </w:r>
          </w:p>
        </w:tc>
        <w:tc>
          <w:tcPr>
            <w:tcW w:w="1671"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0.677</w:t>
            </w:r>
          </w:p>
        </w:tc>
        <w:tc>
          <w:tcPr>
            <w:tcW w:w="1441" w:type="dxa"/>
          </w:tcPr>
          <w:p w:rsidR="002241B2" w:rsidRPr="00793EE3"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w:t>
            </w:r>
          </w:p>
        </w:tc>
      </w:tr>
      <w:tr w:rsidR="00F37D77" w:rsidTr="00DD5FAC">
        <w:tc>
          <w:tcPr>
            <w:tcW w:w="3233" w:type="dxa"/>
          </w:tcPr>
          <w:p w:rsidR="002241B2" w:rsidRDefault="00941040" w:rsidP="00514112">
            <w:pPr>
              <w:tabs>
                <w:tab w:val="left" w:pos="567"/>
                <w:tab w:val="left" w:pos="1134"/>
              </w:tabs>
              <w:spacing w:before="40" w:after="40"/>
              <w:rPr>
                <w:rFonts w:ascii="Arial" w:hAnsi="Arial" w:cs="Arial"/>
                <w:sz w:val="24"/>
                <w:szCs w:val="24"/>
              </w:rPr>
            </w:pPr>
            <w:r>
              <w:rPr>
                <w:rFonts w:ascii="Arial" w:hAnsi="Arial" w:cs="Arial"/>
                <w:sz w:val="24"/>
                <w:szCs w:val="24"/>
              </w:rPr>
              <w:t>Adult Social Care</w:t>
            </w:r>
          </w:p>
        </w:tc>
        <w:tc>
          <w:tcPr>
            <w:tcW w:w="1724"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7.808</w:t>
            </w:r>
          </w:p>
        </w:tc>
        <w:tc>
          <w:tcPr>
            <w:tcW w:w="1559"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13.687</w:t>
            </w:r>
          </w:p>
        </w:tc>
        <w:tc>
          <w:tcPr>
            <w:tcW w:w="1671"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13.687</w:t>
            </w:r>
          </w:p>
        </w:tc>
        <w:tc>
          <w:tcPr>
            <w:tcW w:w="1441"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w:t>
            </w:r>
          </w:p>
        </w:tc>
      </w:tr>
      <w:tr w:rsidR="00F37D77" w:rsidTr="00DD5FAC">
        <w:tc>
          <w:tcPr>
            <w:tcW w:w="3233" w:type="dxa"/>
          </w:tcPr>
          <w:p w:rsidR="002241B2" w:rsidRDefault="00941040" w:rsidP="00793EE3">
            <w:pPr>
              <w:tabs>
                <w:tab w:val="left" w:pos="567"/>
                <w:tab w:val="left" w:pos="1134"/>
              </w:tabs>
              <w:spacing w:before="40" w:after="40"/>
              <w:rPr>
                <w:rFonts w:ascii="Arial" w:hAnsi="Arial" w:cs="Arial"/>
                <w:sz w:val="24"/>
                <w:szCs w:val="24"/>
              </w:rPr>
            </w:pPr>
            <w:r>
              <w:rPr>
                <w:rFonts w:ascii="Arial" w:hAnsi="Arial" w:cs="Arial"/>
                <w:sz w:val="24"/>
                <w:szCs w:val="24"/>
              </w:rPr>
              <w:t>Corporate</w:t>
            </w:r>
          </w:p>
        </w:tc>
        <w:tc>
          <w:tcPr>
            <w:tcW w:w="1724"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28.139</w:t>
            </w:r>
          </w:p>
        </w:tc>
        <w:tc>
          <w:tcPr>
            <w:tcW w:w="1559"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10.499</w:t>
            </w:r>
          </w:p>
        </w:tc>
        <w:tc>
          <w:tcPr>
            <w:tcW w:w="1671"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8.184</w:t>
            </w:r>
          </w:p>
        </w:tc>
        <w:tc>
          <w:tcPr>
            <w:tcW w:w="1441"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-2.315</w:t>
            </w:r>
          </w:p>
        </w:tc>
      </w:tr>
      <w:tr w:rsidR="00F37D77" w:rsidTr="00DD5FAC">
        <w:tc>
          <w:tcPr>
            <w:tcW w:w="3233" w:type="dxa"/>
          </w:tcPr>
          <w:p w:rsidR="002241B2" w:rsidRDefault="00941040" w:rsidP="00793EE3">
            <w:pPr>
              <w:tabs>
                <w:tab w:val="left" w:pos="567"/>
                <w:tab w:val="left" w:pos="1134"/>
              </w:tabs>
              <w:spacing w:before="40" w:after="40"/>
              <w:rPr>
                <w:rFonts w:ascii="Arial" w:hAnsi="Arial" w:cs="Arial"/>
                <w:sz w:val="24"/>
                <w:szCs w:val="24"/>
              </w:rPr>
            </w:pPr>
            <w:r>
              <w:rPr>
                <w:rFonts w:ascii="Arial" w:hAnsi="Arial" w:cs="Arial"/>
                <w:sz w:val="24"/>
                <w:szCs w:val="24"/>
              </w:rPr>
              <w:t>Vehicles</w:t>
            </w:r>
          </w:p>
        </w:tc>
        <w:tc>
          <w:tcPr>
            <w:tcW w:w="1724"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3.910</w:t>
            </w:r>
          </w:p>
        </w:tc>
        <w:tc>
          <w:tcPr>
            <w:tcW w:w="1559"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3.720</w:t>
            </w:r>
          </w:p>
        </w:tc>
        <w:tc>
          <w:tcPr>
            <w:tcW w:w="1671"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3.720</w:t>
            </w:r>
          </w:p>
        </w:tc>
        <w:tc>
          <w:tcPr>
            <w:tcW w:w="1441" w:type="dxa"/>
          </w:tcPr>
          <w:p w:rsidR="002241B2" w:rsidRDefault="00941040" w:rsidP="00793EE3">
            <w:pPr>
              <w:tabs>
                <w:tab w:val="left" w:pos="567"/>
                <w:tab w:val="left" w:pos="1134"/>
              </w:tabs>
              <w:spacing w:before="40" w:after="40"/>
              <w:ind w:right="317"/>
              <w:jc w:val="right"/>
              <w:rPr>
                <w:rFonts w:ascii="Arial" w:hAnsi="Arial" w:cs="Arial"/>
                <w:sz w:val="24"/>
                <w:szCs w:val="24"/>
              </w:rPr>
            </w:pPr>
            <w:r>
              <w:rPr>
                <w:rFonts w:ascii="Arial" w:hAnsi="Arial" w:cs="Arial"/>
                <w:sz w:val="24"/>
                <w:szCs w:val="24"/>
              </w:rPr>
              <w:t>-</w:t>
            </w:r>
          </w:p>
        </w:tc>
      </w:tr>
      <w:tr w:rsidR="00F37D77" w:rsidTr="00DD5FAC">
        <w:tc>
          <w:tcPr>
            <w:tcW w:w="3233" w:type="dxa"/>
          </w:tcPr>
          <w:p w:rsidR="002241B2" w:rsidRPr="00793EE3" w:rsidRDefault="00941040" w:rsidP="00793EE3">
            <w:pPr>
              <w:tabs>
                <w:tab w:val="left" w:pos="567"/>
                <w:tab w:val="left" w:pos="1134"/>
              </w:tabs>
              <w:spacing w:before="40" w:after="40"/>
              <w:rPr>
                <w:rFonts w:ascii="Arial" w:hAnsi="Arial" w:cs="Arial"/>
                <w:b/>
                <w:sz w:val="24"/>
                <w:szCs w:val="24"/>
              </w:rPr>
            </w:pPr>
            <w:r>
              <w:rPr>
                <w:rFonts w:ascii="Arial" w:hAnsi="Arial" w:cs="Arial"/>
                <w:b/>
                <w:sz w:val="24"/>
                <w:szCs w:val="24"/>
              </w:rPr>
              <w:t>Totals</w:t>
            </w:r>
          </w:p>
        </w:tc>
        <w:tc>
          <w:tcPr>
            <w:tcW w:w="1724" w:type="dxa"/>
          </w:tcPr>
          <w:p w:rsidR="002241B2" w:rsidRDefault="00941040" w:rsidP="00793EE3">
            <w:pPr>
              <w:tabs>
                <w:tab w:val="left" w:pos="567"/>
                <w:tab w:val="left" w:pos="1134"/>
              </w:tabs>
              <w:spacing w:before="40" w:after="40"/>
              <w:ind w:right="317"/>
              <w:jc w:val="right"/>
              <w:rPr>
                <w:rFonts w:ascii="Arial" w:hAnsi="Arial" w:cs="Arial"/>
                <w:b/>
                <w:sz w:val="24"/>
                <w:szCs w:val="24"/>
              </w:rPr>
            </w:pPr>
            <w:r>
              <w:rPr>
                <w:rFonts w:ascii="Arial" w:hAnsi="Arial" w:cs="Arial"/>
                <w:b/>
                <w:sz w:val="24"/>
                <w:szCs w:val="24"/>
              </w:rPr>
              <w:t>161.392</w:t>
            </w:r>
          </w:p>
        </w:tc>
        <w:tc>
          <w:tcPr>
            <w:tcW w:w="1559" w:type="dxa"/>
          </w:tcPr>
          <w:p w:rsidR="002241B2" w:rsidRPr="00793EE3" w:rsidRDefault="00941040" w:rsidP="00793EE3">
            <w:pPr>
              <w:tabs>
                <w:tab w:val="left" w:pos="567"/>
                <w:tab w:val="left" w:pos="1134"/>
              </w:tabs>
              <w:spacing w:before="40" w:after="40"/>
              <w:ind w:right="317"/>
              <w:jc w:val="right"/>
              <w:rPr>
                <w:rFonts w:ascii="Arial" w:hAnsi="Arial" w:cs="Arial"/>
                <w:b/>
                <w:sz w:val="24"/>
                <w:szCs w:val="24"/>
              </w:rPr>
            </w:pPr>
            <w:r>
              <w:rPr>
                <w:rFonts w:ascii="Arial" w:hAnsi="Arial" w:cs="Arial"/>
                <w:b/>
                <w:sz w:val="24"/>
                <w:szCs w:val="24"/>
              </w:rPr>
              <w:t>114.817</w:t>
            </w:r>
          </w:p>
        </w:tc>
        <w:tc>
          <w:tcPr>
            <w:tcW w:w="1671" w:type="dxa"/>
          </w:tcPr>
          <w:p w:rsidR="002241B2" w:rsidRPr="00793EE3" w:rsidRDefault="00941040" w:rsidP="00793EE3">
            <w:pPr>
              <w:tabs>
                <w:tab w:val="left" w:pos="567"/>
                <w:tab w:val="left" w:pos="1134"/>
              </w:tabs>
              <w:spacing w:before="40" w:after="40"/>
              <w:ind w:right="317"/>
              <w:jc w:val="right"/>
              <w:rPr>
                <w:rFonts w:ascii="Arial" w:hAnsi="Arial" w:cs="Arial"/>
                <w:b/>
                <w:sz w:val="24"/>
                <w:szCs w:val="24"/>
              </w:rPr>
            </w:pPr>
            <w:r>
              <w:rPr>
                <w:rFonts w:ascii="Arial" w:hAnsi="Arial" w:cs="Arial"/>
                <w:b/>
                <w:sz w:val="24"/>
                <w:szCs w:val="24"/>
              </w:rPr>
              <w:t>111.382</w:t>
            </w:r>
          </w:p>
        </w:tc>
        <w:tc>
          <w:tcPr>
            <w:tcW w:w="1441" w:type="dxa"/>
          </w:tcPr>
          <w:p w:rsidR="002241B2" w:rsidRPr="00793EE3" w:rsidRDefault="00941040" w:rsidP="00793EE3">
            <w:pPr>
              <w:tabs>
                <w:tab w:val="left" w:pos="567"/>
                <w:tab w:val="left" w:pos="1134"/>
              </w:tabs>
              <w:spacing w:before="40" w:after="40"/>
              <w:ind w:right="317"/>
              <w:jc w:val="right"/>
              <w:rPr>
                <w:rFonts w:ascii="Arial" w:hAnsi="Arial" w:cs="Arial"/>
                <w:b/>
                <w:sz w:val="24"/>
                <w:szCs w:val="24"/>
              </w:rPr>
            </w:pPr>
            <w:r>
              <w:rPr>
                <w:rFonts w:ascii="Arial" w:hAnsi="Arial" w:cs="Arial"/>
                <w:b/>
                <w:sz w:val="24"/>
                <w:szCs w:val="24"/>
              </w:rPr>
              <w:t>-3.435</w:t>
            </w:r>
          </w:p>
        </w:tc>
      </w:tr>
    </w:tbl>
    <w:p w:rsidR="00D51C25" w:rsidRDefault="00941040" w:rsidP="00D51C25">
      <w:pPr>
        <w:tabs>
          <w:tab w:val="left" w:pos="567"/>
          <w:tab w:val="left" w:pos="1134"/>
        </w:tabs>
        <w:spacing w:after="0"/>
        <w:rPr>
          <w:rFonts w:ascii="Arial" w:hAnsi="Arial" w:cs="Arial"/>
          <w:b/>
          <w:sz w:val="24"/>
          <w:szCs w:val="24"/>
        </w:rPr>
      </w:pPr>
    </w:p>
    <w:p w:rsidR="00E76CDC" w:rsidRDefault="00941040" w:rsidP="00E76CDC">
      <w:pPr>
        <w:tabs>
          <w:tab w:val="left" w:pos="567"/>
          <w:tab w:val="left" w:pos="1134"/>
        </w:tabs>
        <w:spacing w:after="0"/>
        <w:jc w:val="both"/>
        <w:rPr>
          <w:rFonts w:ascii="Arial" w:hAnsi="Arial" w:cs="Arial"/>
          <w:sz w:val="24"/>
          <w:szCs w:val="24"/>
        </w:rPr>
      </w:pPr>
      <w:r>
        <w:rPr>
          <w:rFonts w:ascii="Arial" w:hAnsi="Arial" w:cs="Arial"/>
          <w:sz w:val="24"/>
          <w:szCs w:val="24"/>
        </w:rPr>
        <w:t>The</w:t>
      </w:r>
      <w:r w:rsidRPr="00D51C25">
        <w:rPr>
          <w:rFonts w:ascii="Arial" w:hAnsi="Arial" w:cs="Arial"/>
          <w:sz w:val="24"/>
          <w:szCs w:val="24"/>
        </w:rPr>
        <w:t xml:space="preserve"> forecast £3.435m under</w:t>
      </w:r>
      <w:r>
        <w:rPr>
          <w:rFonts w:ascii="Arial" w:hAnsi="Arial" w:cs="Arial"/>
          <w:sz w:val="24"/>
          <w:szCs w:val="24"/>
        </w:rPr>
        <w:t>-</w:t>
      </w:r>
      <w:r w:rsidRPr="00D51C25">
        <w:rPr>
          <w:rFonts w:ascii="Arial" w:hAnsi="Arial" w:cs="Arial"/>
          <w:sz w:val="24"/>
          <w:szCs w:val="24"/>
        </w:rPr>
        <w:t>delivery on the proposed 2018/19 capital programme</w:t>
      </w:r>
      <w:r>
        <w:rPr>
          <w:rFonts w:ascii="Arial" w:hAnsi="Arial" w:cs="Arial"/>
          <w:sz w:val="24"/>
          <w:szCs w:val="24"/>
        </w:rPr>
        <w:t xml:space="preserve">  represents a c</w:t>
      </w:r>
      <w:r w:rsidRPr="00D51C25">
        <w:rPr>
          <w:rFonts w:ascii="Arial" w:hAnsi="Arial" w:cs="Arial"/>
          <w:sz w:val="24"/>
          <w:szCs w:val="24"/>
        </w:rPr>
        <w:t>3% variance.</w:t>
      </w:r>
    </w:p>
    <w:p w:rsidR="00E76CDC" w:rsidRPr="00D51C25" w:rsidRDefault="00941040" w:rsidP="00E76CDC">
      <w:pPr>
        <w:tabs>
          <w:tab w:val="left" w:pos="567"/>
          <w:tab w:val="left" w:pos="1134"/>
        </w:tabs>
        <w:spacing w:after="0"/>
        <w:jc w:val="both"/>
        <w:rPr>
          <w:rFonts w:ascii="Arial" w:hAnsi="Arial" w:cs="Arial"/>
          <w:sz w:val="24"/>
          <w:szCs w:val="24"/>
        </w:rPr>
      </w:pPr>
    </w:p>
    <w:p w:rsidR="00E76CDC" w:rsidRDefault="00941040" w:rsidP="00E76CDC">
      <w:pPr>
        <w:tabs>
          <w:tab w:val="left" w:pos="567"/>
          <w:tab w:val="left" w:pos="1134"/>
        </w:tabs>
        <w:spacing w:after="0"/>
        <w:jc w:val="both"/>
        <w:rPr>
          <w:rFonts w:ascii="Arial" w:hAnsi="Arial" w:cs="Arial"/>
          <w:sz w:val="24"/>
          <w:szCs w:val="24"/>
        </w:rPr>
      </w:pPr>
      <w:r w:rsidRPr="00D51C25">
        <w:rPr>
          <w:rFonts w:ascii="Arial" w:hAnsi="Arial" w:cs="Arial"/>
          <w:sz w:val="24"/>
          <w:szCs w:val="24"/>
        </w:rPr>
        <w:t>The main reasons for the variance can be summarised by the following:</w:t>
      </w:r>
    </w:p>
    <w:p w:rsidR="00E76CDC" w:rsidRPr="00D51C25" w:rsidRDefault="00941040" w:rsidP="00E76CDC">
      <w:pPr>
        <w:tabs>
          <w:tab w:val="left" w:pos="567"/>
          <w:tab w:val="left" w:pos="1134"/>
        </w:tabs>
        <w:spacing w:after="0"/>
        <w:jc w:val="both"/>
        <w:rPr>
          <w:rFonts w:ascii="Arial" w:hAnsi="Arial" w:cs="Arial"/>
          <w:sz w:val="24"/>
          <w:szCs w:val="24"/>
        </w:rPr>
      </w:pPr>
    </w:p>
    <w:p w:rsidR="00E76CDC" w:rsidRPr="00D51C25" w:rsidRDefault="00941040" w:rsidP="00E76CDC">
      <w:pPr>
        <w:pStyle w:val="ListParagraph"/>
        <w:numPr>
          <w:ilvl w:val="0"/>
          <w:numId w:val="2"/>
        </w:numPr>
        <w:tabs>
          <w:tab w:val="left" w:pos="567"/>
          <w:tab w:val="left" w:pos="1134"/>
        </w:tabs>
        <w:spacing w:after="0"/>
        <w:ind w:left="567" w:hanging="567"/>
        <w:jc w:val="both"/>
        <w:rPr>
          <w:rFonts w:ascii="Arial" w:hAnsi="Arial" w:cs="Arial"/>
          <w:sz w:val="24"/>
          <w:szCs w:val="24"/>
        </w:rPr>
      </w:pPr>
      <w:r w:rsidRPr="00D51C25">
        <w:rPr>
          <w:rFonts w:ascii="Arial" w:hAnsi="Arial" w:cs="Arial"/>
          <w:sz w:val="24"/>
          <w:szCs w:val="24"/>
        </w:rPr>
        <w:t xml:space="preserve">Net effect of some small forecast under and </w:t>
      </w:r>
      <w:r w:rsidRPr="00D51C25">
        <w:rPr>
          <w:rFonts w:ascii="Arial" w:hAnsi="Arial" w:cs="Arial"/>
          <w:sz w:val="24"/>
          <w:szCs w:val="24"/>
        </w:rPr>
        <w:t>overspends</w:t>
      </w:r>
      <w:r>
        <w:rPr>
          <w:rFonts w:ascii="Arial" w:hAnsi="Arial" w:cs="Arial"/>
          <w:sz w:val="24"/>
          <w:szCs w:val="24"/>
        </w:rPr>
        <w:t xml:space="preserve"> on completed projects</w:t>
      </w:r>
      <w:r w:rsidRPr="00D51C25">
        <w:rPr>
          <w:rFonts w:ascii="Arial" w:hAnsi="Arial" w:cs="Arial"/>
          <w:sz w:val="24"/>
          <w:szCs w:val="24"/>
        </w:rPr>
        <w:t xml:space="preserve">. </w:t>
      </w:r>
    </w:p>
    <w:p w:rsidR="00E76CDC" w:rsidRPr="00D51C25" w:rsidRDefault="00941040" w:rsidP="00E76CDC">
      <w:pPr>
        <w:pStyle w:val="ListParagraph"/>
        <w:numPr>
          <w:ilvl w:val="0"/>
          <w:numId w:val="2"/>
        </w:numPr>
        <w:tabs>
          <w:tab w:val="left" w:pos="567"/>
          <w:tab w:val="left" w:pos="1134"/>
        </w:tabs>
        <w:spacing w:after="0"/>
        <w:ind w:left="567" w:hanging="567"/>
        <w:jc w:val="both"/>
        <w:rPr>
          <w:rFonts w:ascii="Arial" w:hAnsi="Arial" w:cs="Arial"/>
          <w:sz w:val="24"/>
          <w:szCs w:val="24"/>
        </w:rPr>
      </w:pPr>
      <w:r w:rsidRPr="00D51C25">
        <w:rPr>
          <w:rFonts w:ascii="Arial" w:hAnsi="Arial" w:cs="Arial"/>
          <w:sz w:val="24"/>
          <w:szCs w:val="24"/>
        </w:rPr>
        <w:t>Forecast over-delivery on the Structural Defects programme.</w:t>
      </w:r>
    </w:p>
    <w:p w:rsidR="00E76CDC" w:rsidRDefault="00941040" w:rsidP="00E76CDC">
      <w:pPr>
        <w:pStyle w:val="ListParagraph"/>
        <w:numPr>
          <w:ilvl w:val="0"/>
          <w:numId w:val="2"/>
        </w:numPr>
        <w:tabs>
          <w:tab w:val="left" w:pos="567"/>
          <w:tab w:val="left" w:pos="1134"/>
        </w:tabs>
        <w:spacing w:after="0"/>
        <w:ind w:left="567" w:hanging="567"/>
        <w:jc w:val="both"/>
        <w:rPr>
          <w:rFonts w:ascii="Arial" w:hAnsi="Arial" w:cs="Arial"/>
          <w:sz w:val="24"/>
          <w:szCs w:val="24"/>
        </w:rPr>
      </w:pPr>
      <w:r w:rsidRPr="00D51C25">
        <w:rPr>
          <w:rFonts w:ascii="Arial" w:hAnsi="Arial" w:cs="Arial"/>
          <w:sz w:val="24"/>
          <w:szCs w:val="24"/>
        </w:rPr>
        <w:t>Currently un</w:t>
      </w:r>
      <w:r>
        <w:rPr>
          <w:rFonts w:ascii="Arial" w:hAnsi="Arial" w:cs="Arial"/>
          <w:sz w:val="24"/>
          <w:szCs w:val="24"/>
        </w:rPr>
        <w:t>-</w:t>
      </w:r>
      <w:r w:rsidRPr="00D51C25">
        <w:rPr>
          <w:rFonts w:ascii="Arial" w:hAnsi="Arial" w:cs="Arial"/>
          <w:sz w:val="24"/>
          <w:szCs w:val="24"/>
        </w:rPr>
        <w:t>programmed amounts within the Property rationalisation programme.</w:t>
      </w:r>
    </w:p>
    <w:p w:rsidR="00E76CDC" w:rsidRPr="00F7252C" w:rsidRDefault="00941040" w:rsidP="00E76CDC">
      <w:pPr>
        <w:tabs>
          <w:tab w:val="left" w:pos="567"/>
          <w:tab w:val="left" w:pos="1134"/>
        </w:tabs>
        <w:spacing w:after="0"/>
        <w:jc w:val="both"/>
        <w:rPr>
          <w:rFonts w:ascii="Arial" w:hAnsi="Arial" w:cs="Arial"/>
          <w:sz w:val="24"/>
          <w:szCs w:val="24"/>
        </w:rPr>
      </w:pPr>
    </w:p>
    <w:p w:rsidR="00E76CDC" w:rsidRDefault="00941040" w:rsidP="00E76CDC">
      <w:pPr>
        <w:tabs>
          <w:tab w:val="left" w:pos="567"/>
          <w:tab w:val="left" w:pos="1134"/>
        </w:tabs>
        <w:spacing w:after="0"/>
        <w:jc w:val="both"/>
        <w:rPr>
          <w:rFonts w:ascii="Arial" w:hAnsi="Arial" w:cs="Arial"/>
          <w:sz w:val="24"/>
          <w:szCs w:val="24"/>
        </w:rPr>
      </w:pPr>
      <w:r w:rsidRPr="00D51C25">
        <w:rPr>
          <w:rFonts w:ascii="Arial" w:hAnsi="Arial" w:cs="Arial"/>
          <w:sz w:val="24"/>
          <w:szCs w:val="24"/>
        </w:rPr>
        <w:t xml:space="preserve">A more detailed breakdown of the variances by programme are </w:t>
      </w:r>
      <w:r>
        <w:rPr>
          <w:rFonts w:ascii="Arial" w:hAnsi="Arial" w:cs="Arial"/>
          <w:sz w:val="24"/>
          <w:szCs w:val="24"/>
        </w:rPr>
        <w:t xml:space="preserve">included </w:t>
      </w:r>
      <w:r w:rsidRPr="00D51C25">
        <w:rPr>
          <w:rFonts w:ascii="Arial" w:hAnsi="Arial" w:cs="Arial"/>
          <w:sz w:val="24"/>
          <w:szCs w:val="24"/>
        </w:rPr>
        <w:t xml:space="preserve">in the </w:t>
      </w:r>
      <w:r>
        <w:rPr>
          <w:rFonts w:ascii="Arial" w:hAnsi="Arial" w:cs="Arial"/>
          <w:sz w:val="24"/>
          <w:szCs w:val="24"/>
        </w:rPr>
        <w:t xml:space="preserve">more </w:t>
      </w:r>
      <w:r w:rsidRPr="00D51C25">
        <w:rPr>
          <w:rFonts w:ascii="Arial" w:hAnsi="Arial" w:cs="Arial"/>
          <w:sz w:val="24"/>
          <w:szCs w:val="24"/>
        </w:rPr>
        <w:t>detailed narrative later in the report.</w:t>
      </w:r>
      <w:r>
        <w:rPr>
          <w:rFonts w:ascii="Arial" w:hAnsi="Arial" w:cs="Arial"/>
          <w:sz w:val="24"/>
          <w:szCs w:val="24"/>
        </w:rPr>
        <w:t xml:space="preserve">  </w:t>
      </w:r>
    </w:p>
    <w:p w:rsidR="00A92197" w:rsidRDefault="00941040" w:rsidP="00E76CDC">
      <w:pPr>
        <w:tabs>
          <w:tab w:val="left" w:pos="567"/>
          <w:tab w:val="left" w:pos="1134"/>
        </w:tabs>
        <w:spacing w:after="0"/>
        <w:jc w:val="both"/>
        <w:rPr>
          <w:rFonts w:ascii="Arial" w:hAnsi="Arial" w:cs="Arial"/>
          <w:sz w:val="24"/>
          <w:szCs w:val="24"/>
        </w:rPr>
      </w:pPr>
    </w:p>
    <w:p w:rsidR="00FC2C4E" w:rsidRPr="00D51C25" w:rsidRDefault="00941040" w:rsidP="00D51C25">
      <w:pPr>
        <w:pStyle w:val="ListParagraph"/>
        <w:tabs>
          <w:tab w:val="left" w:pos="567"/>
          <w:tab w:val="left" w:pos="1134"/>
        </w:tabs>
        <w:spacing w:after="0"/>
        <w:ind w:left="0"/>
        <w:jc w:val="both"/>
        <w:rPr>
          <w:rFonts w:ascii="Arial" w:hAnsi="Arial" w:cs="Arial"/>
          <w:sz w:val="24"/>
          <w:szCs w:val="24"/>
        </w:rPr>
      </w:pPr>
      <w:r>
        <w:rPr>
          <w:rFonts w:ascii="Arial" w:hAnsi="Arial" w:cs="Arial"/>
          <w:sz w:val="24"/>
          <w:szCs w:val="24"/>
        </w:rPr>
        <w:t>The c</w:t>
      </w:r>
      <w:r w:rsidRPr="00D51C25">
        <w:rPr>
          <w:rFonts w:ascii="Arial" w:hAnsi="Arial" w:cs="Arial"/>
          <w:sz w:val="24"/>
          <w:szCs w:val="24"/>
        </w:rPr>
        <w:t xml:space="preserve">urrent forecast </w:t>
      </w:r>
      <w:r>
        <w:rPr>
          <w:rFonts w:ascii="Arial" w:hAnsi="Arial" w:cs="Arial"/>
          <w:sz w:val="24"/>
          <w:szCs w:val="24"/>
        </w:rPr>
        <w:t>outturn expenditure of</w:t>
      </w:r>
      <w:r w:rsidRPr="00D51C25">
        <w:rPr>
          <w:rFonts w:ascii="Arial" w:hAnsi="Arial" w:cs="Arial"/>
          <w:sz w:val="24"/>
          <w:szCs w:val="24"/>
        </w:rPr>
        <w:t xml:space="preserve"> £111.382m includes £45.984m </w:t>
      </w:r>
      <w:r>
        <w:rPr>
          <w:rFonts w:ascii="Arial" w:hAnsi="Arial" w:cs="Arial"/>
          <w:sz w:val="24"/>
          <w:szCs w:val="24"/>
        </w:rPr>
        <w:t xml:space="preserve">of expenditure </w:t>
      </w:r>
      <w:r w:rsidRPr="00D51C25">
        <w:rPr>
          <w:rFonts w:ascii="Arial" w:hAnsi="Arial" w:cs="Arial"/>
          <w:sz w:val="24"/>
          <w:szCs w:val="24"/>
        </w:rPr>
        <w:t>on Highway schemes including structural maintenance, road safety, street lighting and the surface dressing programme to mainta</w:t>
      </w:r>
      <w:r w:rsidRPr="00D51C25">
        <w:rPr>
          <w:rFonts w:ascii="Arial" w:hAnsi="Arial" w:cs="Arial"/>
          <w:sz w:val="24"/>
          <w:szCs w:val="24"/>
        </w:rPr>
        <w:t xml:space="preserve">in and improve the county's highways and footway infrastructure.  A further £13.912m is forecast to be spent on transport schemes which involve new or improved road, cycling or footway schemes. </w:t>
      </w:r>
    </w:p>
    <w:p w:rsidR="00E062C5" w:rsidRPr="00D51C25" w:rsidRDefault="00941040" w:rsidP="00D51C25">
      <w:pPr>
        <w:pStyle w:val="ListParagraph"/>
        <w:tabs>
          <w:tab w:val="left" w:pos="567"/>
          <w:tab w:val="left" w:pos="1134"/>
        </w:tabs>
        <w:spacing w:after="0"/>
        <w:ind w:left="0"/>
        <w:rPr>
          <w:rFonts w:ascii="Arial" w:hAnsi="Arial" w:cs="Arial"/>
          <w:sz w:val="24"/>
          <w:szCs w:val="24"/>
        </w:rPr>
      </w:pPr>
    </w:p>
    <w:p w:rsidR="002800CA" w:rsidRPr="00D51C25" w:rsidRDefault="00941040" w:rsidP="00D51C25">
      <w:pPr>
        <w:pStyle w:val="ListParagraph"/>
        <w:tabs>
          <w:tab w:val="left" w:pos="567"/>
          <w:tab w:val="left" w:pos="1134"/>
        </w:tabs>
        <w:spacing w:after="0"/>
        <w:ind w:left="0"/>
        <w:jc w:val="both"/>
        <w:rPr>
          <w:rFonts w:ascii="Arial" w:hAnsi="Arial" w:cs="Arial"/>
          <w:sz w:val="24"/>
          <w:szCs w:val="24"/>
        </w:rPr>
      </w:pPr>
      <w:r w:rsidRPr="00D51C25">
        <w:rPr>
          <w:rFonts w:ascii="Arial" w:hAnsi="Arial" w:cs="Arial"/>
          <w:sz w:val="24"/>
          <w:szCs w:val="24"/>
        </w:rPr>
        <w:t xml:space="preserve">£23.961m is forecast to be spent on projects to improve the </w:t>
      </w:r>
      <w:r w:rsidRPr="00D51C25">
        <w:rPr>
          <w:rFonts w:ascii="Arial" w:hAnsi="Arial" w:cs="Arial"/>
          <w:sz w:val="24"/>
          <w:szCs w:val="24"/>
        </w:rPr>
        <w:t xml:space="preserve">condition of or expand the capacity in the authority's school buildings.  Adults social care expenditure </w:t>
      </w:r>
      <w:r>
        <w:rPr>
          <w:rFonts w:ascii="Arial" w:hAnsi="Arial" w:cs="Arial"/>
          <w:sz w:val="24"/>
          <w:szCs w:val="24"/>
        </w:rPr>
        <w:t xml:space="preserve">of £13.687m </w:t>
      </w:r>
      <w:r w:rsidRPr="00D51C25">
        <w:rPr>
          <w:rFonts w:ascii="Arial" w:hAnsi="Arial" w:cs="Arial"/>
          <w:sz w:val="24"/>
          <w:szCs w:val="24"/>
        </w:rPr>
        <w:t xml:space="preserve">primarily </w:t>
      </w:r>
      <w:r>
        <w:rPr>
          <w:rFonts w:ascii="Arial" w:hAnsi="Arial" w:cs="Arial"/>
          <w:sz w:val="24"/>
          <w:szCs w:val="24"/>
        </w:rPr>
        <w:t xml:space="preserve">covers </w:t>
      </w:r>
      <w:r w:rsidRPr="00D51C25">
        <w:rPr>
          <w:rFonts w:ascii="Arial" w:hAnsi="Arial" w:cs="Arial"/>
          <w:sz w:val="24"/>
          <w:szCs w:val="24"/>
        </w:rPr>
        <w:t xml:space="preserve">the passported </w:t>
      </w:r>
      <w:r>
        <w:rPr>
          <w:rFonts w:ascii="Arial" w:hAnsi="Arial" w:cs="Arial"/>
          <w:sz w:val="24"/>
          <w:szCs w:val="24"/>
        </w:rPr>
        <w:t>d</w:t>
      </w:r>
      <w:r w:rsidRPr="00D51C25">
        <w:rPr>
          <w:rFonts w:ascii="Arial" w:hAnsi="Arial" w:cs="Arial"/>
          <w:sz w:val="24"/>
          <w:szCs w:val="24"/>
        </w:rPr>
        <w:t xml:space="preserve">isabled facilities grant (DFG) which is distributed to districts in </w:t>
      </w:r>
      <w:r>
        <w:rPr>
          <w:rFonts w:ascii="Arial" w:hAnsi="Arial" w:cs="Arial"/>
          <w:sz w:val="24"/>
          <w:szCs w:val="24"/>
        </w:rPr>
        <w:t>q</w:t>
      </w:r>
      <w:r w:rsidRPr="00D51C25">
        <w:rPr>
          <w:rFonts w:ascii="Arial" w:hAnsi="Arial" w:cs="Arial"/>
          <w:sz w:val="24"/>
          <w:szCs w:val="24"/>
        </w:rPr>
        <w:t>uarter 1 and used to fund adaptions a</w:t>
      </w:r>
      <w:r w:rsidRPr="00D51C25">
        <w:rPr>
          <w:rFonts w:ascii="Arial" w:hAnsi="Arial" w:cs="Arial"/>
          <w:sz w:val="24"/>
          <w:szCs w:val="24"/>
        </w:rPr>
        <w:t xml:space="preserve">nd alterations to allow </w:t>
      </w:r>
      <w:r>
        <w:rPr>
          <w:rFonts w:ascii="Arial" w:hAnsi="Arial" w:cs="Arial"/>
          <w:sz w:val="24"/>
          <w:szCs w:val="24"/>
        </w:rPr>
        <w:t>people</w:t>
      </w:r>
      <w:r w:rsidRPr="00D51C25">
        <w:rPr>
          <w:rFonts w:ascii="Arial" w:hAnsi="Arial" w:cs="Arial"/>
          <w:sz w:val="24"/>
          <w:szCs w:val="24"/>
        </w:rPr>
        <w:t xml:space="preserve"> to remain in their own homes.  </w:t>
      </w:r>
    </w:p>
    <w:p w:rsidR="00FC2C4E" w:rsidRPr="00D51C25" w:rsidRDefault="00941040" w:rsidP="00D51C25">
      <w:pPr>
        <w:pStyle w:val="ListParagraph"/>
        <w:tabs>
          <w:tab w:val="left" w:pos="567"/>
          <w:tab w:val="left" w:pos="1134"/>
        </w:tabs>
        <w:spacing w:after="0"/>
        <w:ind w:left="0"/>
        <w:rPr>
          <w:rFonts w:ascii="Arial" w:hAnsi="Arial" w:cs="Arial"/>
          <w:sz w:val="24"/>
          <w:szCs w:val="24"/>
        </w:rPr>
      </w:pPr>
    </w:p>
    <w:p w:rsidR="002800CA" w:rsidRPr="00D51C25" w:rsidRDefault="00941040" w:rsidP="00D51C25">
      <w:pPr>
        <w:pStyle w:val="ListParagraph"/>
        <w:tabs>
          <w:tab w:val="left" w:pos="567"/>
          <w:tab w:val="left" w:pos="1134"/>
        </w:tabs>
        <w:spacing w:after="0"/>
        <w:ind w:left="0"/>
        <w:jc w:val="both"/>
        <w:rPr>
          <w:rFonts w:ascii="Arial" w:hAnsi="Arial" w:cs="Arial"/>
          <w:sz w:val="24"/>
          <w:szCs w:val="24"/>
        </w:rPr>
      </w:pPr>
      <w:r w:rsidRPr="00D51C25">
        <w:rPr>
          <w:rFonts w:ascii="Arial" w:hAnsi="Arial" w:cs="Arial"/>
          <w:sz w:val="24"/>
          <w:szCs w:val="24"/>
        </w:rPr>
        <w:t xml:space="preserve">The remaining </w:t>
      </w:r>
      <w:r>
        <w:rPr>
          <w:rFonts w:ascii="Arial" w:hAnsi="Arial" w:cs="Arial"/>
          <w:sz w:val="24"/>
          <w:szCs w:val="24"/>
        </w:rPr>
        <w:t>expenditure</w:t>
      </w:r>
      <w:r w:rsidRPr="00D51C25">
        <w:rPr>
          <w:rFonts w:ascii="Arial" w:hAnsi="Arial" w:cs="Arial"/>
          <w:sz w:val="24"/>
          <w:szCs w:val="24"/>
        </w:rPr>
        <w:t xml:space="preserve"> covers a range of projects including work on maintaining and improving the county's building and vehicle assets. </w:t>
      </w:r>
    </w:p>
    <w:p w:rsidR="00C76E93" w:rsidRPr="00D51C25" w:rsidRDefault="00941040" w:rsidP="000A0928">
      <w:pPr>
        <w:pStyle w:val="ListParagraph"/>
        <w:tabs>
          <w:tab w:val="left" w:pos="567"/>
          <w:tab w:val="left" w:pos="1134"/>
        </w:tabs>
        <w:spacing w:after="0"/>
        <w:ind w:left="0"/>
        <w:rPr>
          <w:rFonts w:ascii="Arial" w:hAnsi="Arial" w:cs="Arial"/>
          <w:b/>
          <w:sz w:val="24"/>
          <w:szCs w:val="24"/>
        </w:rPr>
      </w:pPr>
    </w:p>
    <w:p w:rsidR="00A92197" w:rsidRDefault="00941040" w:rsidP="00A92197">
      <w:pPr>
        <w:tabs>
          <w:tab w:val="left" w:pos="567"/>
          <w:tab w:val="left" w:pos="1134"/>
        </w:tabs>
        <w:spacing w:after="0"/>
        <w:rPr>
          <w:rFonts w:ascii="Arial" w:hAnsi="Arial" w:cs="Arial"/>
          <w:b/>
          <w:sz w:val="24"/>
          <w:szCs w:val="24"/>
        </w:rPr>
      </w:pPr>
      <w:r w:rsidRPr="00D51C25">
        <w:rPr>
          <w:rFonts w:ascii="Arial" w:hAnsi="Arial" w:cs="Arial"/>
          <w:b/>
          <w:sz w:val="24"/>
          <w:szCs w:val="24"/>
        </w:rPr>
        <w:t xml:space="preserve">Table </w:t>
      </w:r>
      <w:r>
        <w:rPr>
          <w:rFonts w:ascii="Arial" w:hAnsi="Arial" w:cs="Arial"/>
          <w:b/>
          <w:sz w:val="24"/>
          <w:szCs w:val="24"/>
        </w:rPr>
        <w:t>2</w:t>
      </w:r>
      <w:r w:rsidRPr="00D51C25">
        <w:rPr>
          <w:rFonts w:ascii="Arial" w:hAnsi="Arial" w:cs="Arial"/>
          <w:b/>
          <w:sz w:val="24"/>
          <w:szCs w:val="24"/>
        </w:rPr>
        <w:t xml:space="preserve">: 2018/19 Forecast variance analysis.  </w:t>
      </w:r>
    </w:p>
    <w:p w:rsidR="00A92197" w:rsidRDefault="00941040" w:rsidP="00A92197">
      <w:pPr>
        <w:tabs>
          <w:tab w:val="left" w:pos="567"/>
          <w:tab w:val="left" w:pos="1134"/>
        </w:tabs>
        <w:spacing w:after="0"/>
        <w:rPr>
          <w:rFonts w:ascii="Arial" w:hAnsi="Arial" w:cs="Arial"/>
          <w:b/>
          <w:sz w:val="24"/>
          <w:szCs w:val="24"/>
        </w:rPr>
      </w:pPr>
    </w:p>
    <w:tbl>
      <w:tblPr>
        <w:tblStyle w:val="TableGrid"/>
        <w:tblW w:w="9209" w:type="dxa"/>
        <w:tblLook w:val="04A0" w:firstRow="1" w:lastRow="0" w:firstColumn="1" w:lastColumn="0" w:noHBand="0" w:noVBand="1"/>
      </w:tblPr>
      <w:tblGrid>
        <w:gridCol w:w="3256"/>
        <w:gridCol w:w="1275"/>
        <w:gridCol w:w="1798"/>
        <w:gridCol w:w="1604"/>
        <w:gridCol w:w="1276"/>
      </w:tblGrid>
      <w:tr w:rsidR="00F37D77" w:rsidTr="00D435AA">
        <w:tc>
          <w:tcPr>
            <w:tcW w:w="3256" w:type="dxa"/>
          </w:tcPr>
          <w:p w:rsidR="00A92197" w:rsidRDefault="00941040" w:rsidP="00D435AA">
            <w:pPr>
              <w:tabs>
                <w:tab w:val="left" w:pos="567"/>
                <w:tab w:val="left" w:pos="1134"/>
              </w:tabs>
              <w:jc w:val="center"/>
              <w:rPr>
                <w:rFonts w:ascii="Arial" w:hAnsi="Arial" w:cs="Arial"/>
                <w:b/>
                <w:sz w:val="24"/>
                <w:szCs w:val="24"/>
              </w:rPr>
            </w:pPr>
            <w:r>
              <w:rPr>
                <w:rFonts w:ascii="Arial" w:hAnsi="Arial" w:cs="Arial"/>
                <w:b/>
                <w:sz w:val="24"/>
                <w:szCs w:val="24"/>
              </w:rPr>
              <w:t>Service Area</w:t>
            </w:r>
          </w:p>
        </w:tc>
        <w:tc>
          <w:tcPr>
            <w:tcW w:w="1275" w:type="dxa"/>
          </w:tcPr>
          <w:p w:rsidR="00A92197" w:rsidRDefault="00941040" w:rsidP="00D435AA">
            <w:pPr>
              <w:tabs>
                <w:tab w:val="left" w:pos="567"/>
                <w:tab w:val="left" w:pos="1134"/>
              </w:tabs>
              <w:jc w:val="center"/>
              <w:rPr>
                <w:rFonts w:ascii="Arial" w:hAnsi="Arial" w:cs="Arial"/>
                <w:b/>
                <w:sz w:val="24"/>
                <w:szCs w:val="24"/>
              </w:rPr>
            </w:pPr>
            <w:r>
              <w:rPr>
                <w:rFonts w:ascii="Arial" w:hAnsi="Arial" w:cs="Arial"/>
                <w:b/>
                <w:sz w:val="24"/>
                <w:szCs w:val="24"/>
              </w:rPr>
              <w:t>Forecast 2018/19 Variance</w:t>
            </w:r>
          </w:p>
          <w:p w:rsidR="00A92197" w:rsidRDefault="00941040" w:rsidP="00D435AA">
            <w:pPr>
              <w:tabs>
                <w:tab w:val="left" w:pos="567"/>
                <w:tab w:val="left" w:pos="1134"/>
              </w:tabs>
              <w:jc w:val="center"/>
              <w:rPr>
                <w:rFonts w:ascii="Arial" w:hAnsi="Arial" w:cs="Arial"/>
                <w:b/>
                <w:sz w:val="24"/>
                <w:szCs w:val="24"/>
              </w:rPr>
            </w:pPr>
          </w:p>
          <w:p w:rsidR="00A92197" w:rsidRDefault="00941040" w:rsidP="00D435AA">
            <w:pPr>
              <w:tabs>
                <w:tab w:val="left" w:pos="567"/>
                <w:tab w:val="left" w:pos="1134"/>
              </w:tabs>
              <w:jc w:val="center"/>
              <w:rPr>
                <w:rFonts w:ascii="Arial" w:hAnsi="Arial" w:cs="Arial"/>
                <w:b/>
                <w:sz w:val="24"/>
                <w:szCs w:val="24"/>
              </w:rPr>
            </w:pPr>
            <w:r>
              <w:rPr>
                <w:rFonts w:ascii="Arial" w:hAnsi="Arial" w:cs="Arial"/>
                <w:b/>
                <w:sz w:val="24"/>
                <w:szCs w:val="24"/>
              </w:rPr>
              <w:t>£m</w:t>
            </w:r>
          </w:p>
        </w:tc>
        <w:tc>
          <w:tcPr>
            <w:tcW w:w="1798" w:type="dxa"/>
          </w:tcPr>
          <w:p w:rsidR="00A92197" w:rsidRDefault="00941040" w:rsidP="00D435AA">
            <w:pPr>
              <w:tabs>
                <w:tab w:val="left" w:pos="567"/>
                <w:tab w:val="left" w:pos="1134"/>
              </w:tabs>
              <w:jc w:val="center"/>
              <w:rPr>
                <w:rFonts w:ascii="Arial" w:hAnsi="Arial" w:cs="Arial"/>
                <w:b/>
                <w:sz w:val="24"/>
                <w:szCs w:val="24"/>
              </w:rPr>
            </w:pPr>
            <w:r>
              <w:rPr>
                <w:rFonts w:ascii="Arial" w:hAnsi="Arial" w:cs="Arial"/>
                <w:b/>
                <w:sz w:val="24"/>
                <w:szCs w:val="24"/>
              </w:rPr>
              <w:t>Underspends and potential underspends</w:t>
            </w:r>
          </w:p>
          <w:p w:rsidR="00A92197" w:rsidRDefault="00941040" w:rsidP="00D435AA">
            <w:pPr>
              <w:tabs>
                <w:tab w:val="left" w:pos="567"/>
                <w:tab w:val="left" w:pos="1134"/>
              </w:tabs>
              <w:jc w:val="center"/>
              <w:rPr>
                <w:rFonts w:ascii="Arial" w:hAnsi="Arial" w:cs="Arial"/>
                <w:b/>
                <w:sz w:val="24"/>
                <w:szCs w:val="24"/>
              </w:rPr>
            </w:pPr>
          </w:p>
          <w:p w:rsidR="00A92197" w:rsidRDefault="00941040" w:rsidP="00D435AA">
            <w:pPr>
              <w:tabs>
                <w:tab w:val="left" w:pos="567"/>
                <w:tab w:val="left" w:pos="1134"/>
              </w:tabs>
              <w:jc w:val="center"/>
              <w:rPr>
                <w:rFonts w:ascii="Arial" w:hAnsi="Arial" w:cs="Arial"/>
                <w:b/>
                <w:sz w:val="24"/>
                <w:szCs w:val="24"/>
              </w:rPr>
            </w:pPr>
            <w:r>
              <w:rPr>
                <w:rFonts w:ascii="Arial" w:hAnsi="Arial" w:cs="Arial"/>
                <w:b/>
                <w:sz w:val="24"/>
                <w:szCs w:val="24"/>
              </w:rPr>
              <w:t>£m</w:t>
            </w:r>
          </w:p>
        </w:tc>
        <w:tc>
          <w:tcPr>
            <w:tcW w:w="1604" w:type="dxa"/>
          </w:tcPr>
          <w:p w:rsidR="00A92197" w:rsidRDefault="00941040" w:rsidP="00D435AA">
            <w:pPr>
              <w:tabs>
                <w:tab w:val="left" w:pos="567"/>
                <w:tab w:val="left" w:pos="1134"/>
              </w:tabs>
              <w:jc w:val="center"/>
              <w:rPr>
                <w:rFonts w:ascii="Arial" w:hAnsi="Arial" w:cs="Arial"/>
                <w:b/>
                <w:sz w:val="24"/>
                <w:szCs w:val="24"/>
              </w:rPr>
            </w:pPr>
            <w:r>
              <w:rPr>
                <w:rFonts w:ascii="Arial" w:hAnsi="Arial" w:cs="Arial"/>
                <w:b/>
                <w:sz w:val="24"/>
                <w:szCs w:val="24"/>
              </w:rPr>
              <w:t>Overspends and potential overspends</w:t>
            </w:r>
          </w:p>
          <w:p w:rsidR="00A92197" w:rsidRDefault="00941040" w:rsidP="00D435AA">
            <w:pPr>
              <w:tabs>
                <w:tab w:val="left" w:pos="567"/>
                <w:tab w:val="left" w:pos="1134"/>
              </w:tabs>
              <w:jc w:val="center"/>
              <w:rPr>
                <w:rFonts w:ascii="Arial" w:hAnsi="Arial" w:cs="Arial"/>
                <w:b/>
                <w:sz w:val="24"/>
                <w:szCs w:val="24"/>
              </w:rPr>
            </w:pPr>
            <w:r>
              <w:rPr>
                <w:rFonts w:ascii="Arial" w:hAnsi="Arial" w:cs="Arial"/>
                <w:b/>
                <w:sz w:val="24"/>
                <w:szCs w:val="24"/>
              </w:rPr>
              <w:t>£m</w:t>
            </w:r>
          </w:p>
        </w:tc>
        <w:tc>
          <w:tcPr>
            <w:tcW w:w="1276" w:type="dxa"/>
          </w:tcPr>
          <w:p w:rsidR="00A92197" w:rsidRDefault="00941040" w:rsidP="00D435AA">
            <w:pPr>
              <w:tabs>
                <w:tab w:val="left" w:pos="567"/>
                <w:tab w:val="left" w:pos="1134"/>
              </w:tabs>
              <w:jc w:val="center"/>
              <w:rPr>
                <w:rFonts w:ascii="Arial" w:hAnsi="Arial" w:cs="Arial"/>
                <w:b/>
                <w:sz w:val="24"/>
                <w:szCs w:val="24"/>
              </w:rPr>
            </w:pPr>
            <w:r>
              <w:rPr>
                <w:rFonts w:ascii="Arial" w:hAnsi="Arial" w:cs="Arial"/>
                <w:b/>
                <w:sz w:val="24"/>
                <w:szCs w:val="24"/>
              </w:rPr>
              <w:t>Slipped Delivery</w:t>
            </w:r>
          </w:p>
          <w:p w:rsidR="00A92197" w:rsidRDefault="00941040" w:rsidP="00D435AA">
            <w:pPr>
              <w:tabs>
                <w:tab w:val="left" w:pos="567"/>
                <w:tab w:val="left" w:pos="1134"/>
              </w:tabs>
              <w:jc w:val="center"/>
              <w:rPr>
                <w:rFonts w:ascii="Arial" w:hAnsi="Arial" w:cs="Arial"/>
                <w:b/>
                <w:sz w:val="24"/>
                <w:szCs w:val="24"/>
              </w:rPr>
            </w:pPr>
          </w:p>
          <w:p w:rsidR="00A92197" w:rsidRDefault="00941040" w:rsidP="00D435AA">
            <w:pPr>
              <w:tabs>
                <w:tab w:val="left" w:pos="567"/>
                <w:tab w:val="left" w:pos="1134"/>
              </w:tabs>
              <w:jc w:val="center"/>
              <w:rPr>
                <w:rFonts w:ascii="Arial" w:hAnsi="Arial" w:cs="Arial"/>
                <w:b/>
                <w:sz w:val="24"/>
                <w:szCs w:val="24"/>
              </w:rPr>
            </w:pPr>
          </w:p>
          <w:p w:rsidR="00A92197" w:rsidRDefault="00941040" w:rsidP="00D435AA">
            <w:pPr>
              <w:tabs>
                <w:tab w:val="left" w:pos="567"/>
                <w:tab w:val="left" w:pos="1134"/>
              </w:tabs>
              <w:jc w:val="center"/>
              <w:rPr>
                <w:rFonts w:ascii="Arial" w:hAnsi="Arial" w:cs="Arial"/>
                <w:b/>
                <w:sz w:val="24"/>
                <w:szCs w:val="24"/>
              </w:rPr>
            </w:pPr>
            <w:r>
              <w:rPr>
                <w:rFonts w:ascii="Arial" w:hAnsi="Arial" w:cs="Arial"/>
                <w:b/>
                <w:sz w:val="24"/>
                <w:szCs w:val="24"/>
              </w:rPr>
              <w:t>£m</w:t>
            </w:r>
          </w:p>
        </w:tc>
      </w:tr>
      <w:tr w:rsidR="00F37D77" w:rsidTr="00D435AA">
        <w:tc>
          <w:tcPr>
            <w:tcW w:w="3256" w:type="dxa"/>
          </w:tcPr>
          <w:p w:rsidR="00A92197" w:rsidRPr="00F7252C" w:rsidRDefault="00941040" w:rsidP="001361A6">
            <w:pPr>
              <w:tabs>
                <w:tab w:val="left" w:pos="567"/>
                <w:tab w:val="left" w:pos="1134"/>
              </w:tabs>
              <w:rPr>
                <w:rFonts w:ascii="Arial" w:hAnsi="Arial" w:cs="Arial"/>
                <w:sz w:val="24"/>
                <w:szCs w:val="24"/>
              </w:rPr>
            </w:pPr>
            <w:r>
              <w:rPr>
                <w:rFonts w:ascii="Arial" w:hAnsi="Arial" w:cs="Arial"/>
                <w:sz w:val="24"/>
                <w:szCs w:val="24"/>
              </w:rPr>
              <w:t>Schools (inc DFC)</w:t>
            </w:r>
          </w:p>
        </w:tc>
        <w:tc>
          <w:tcPr>
            <w:tcW w:w="1275" w:type="dxa"/>
          </w:tcPr>
          <w:p w:rsidR="00A92197" w:rsidRPr="00F7252C" w:rsidRDefault="00941040" w:rsidP="00D435AA">
            <w:pPr>
              <w:tabs>
                <w:tab w:val="left" w:pos="567"/>
                <w:tab w:val="left" w:pos="885"/>
              </w:tabs>
              <w:ind w:right="268"/>
              <w:jc w:val="right"/>
              <w:rPr>
                <w:rFonts w:ascii="Arial" w:hAnsi="Arial" w:cs="Arial"/>
                <w:sz w:val="24"/>
                <w:szCs w:val="24"/>
              </w:rPr>
            </w:pPr>
            <w:r>
              <w:rPr>
                <w:rFonts w:ascii="Arial" w:hAnsi="Arial" w:cs="Arial"/>
                <w:sz w:val="24"/>
                <w:szCs w:val="24"/>
              </w:rPr>
              <w:t>-1.633</w:t>
            </w:r>
          </w:p>
        </w:tc>
        <w:tc>
          <w:tcPr>
            <w:tcW w:w="1798" w:type="dxa"/>
          </w:tcPr>
          <w:p w:rsidR="00A92197" w:rsidRPr="00F7252C" w:rsidRDefault="00941040" w:rsidP="00D435AA">
            <w:pPr>
              <w:tabs>
                <w:tab w:val="left" w:pos="567"/>
                <w:tab w:val="left" w:pos="885"/>
              </w:tabs>
              <w:ind w:right="268"/>
              <w:jc w:val="right"/>
              <w:rPr>
                <w:rFonts w:ascii="Arial" w:hAnsi="Arial" w:cs="Arial"/>
                <w:sz w:val="24"/>
                <w:szCs w:val="24"/>
              </w:rPr>
            </w:pPr>
            <w:r>
              <w:rPr>
                <w:rFonts w:ascii="Arial" w:hAnsi="Arial" w:cs="Arial"/>
                <w:sz w:val="24"/>
                <w:szCs w:val="24"/>
              </w:rPr>
              <w:t>-1.127</w:t>
            </w:r>
          </w:p>
        </w:tc>
        <w:tc>
          <w:tcPr>
            <w:tcW w:w="1604" w:type="dxa"/>
          </w:tcPr>
          <w:p w:rsidR="00A92197" w:rsidRPr="00F7252C" w:rsidRDefault="00941040" w:rsidP="00D435AA">
            <w:pPr>
              <w:tabs>
                <w:tab w:val="left" w:pos="567"/>
                <w:tab w:val="left" w:pos="885"/>
              </w:tabs>
              <w:ind w:right="268"/>
              <w:jc w:val="right"/>
              <w:rPr>
                <w:rFonts w:ascii="Arial" w:hAnsi="Arial" w:cs="Arial"/>
                <w:sz w:val="24"/>
                <w:szCs w:val="24"/>
              </w:rPr>
            </w:pPr>
            <w:r>
              <w:rPr>
                <w:rFonts w:ascii="Arial" w:hAnsi="Arial" w:cs="Arial"/>
                <w:sz w:val="24"/>
                <w:szCs w:val="24"/>
              </w:rPr>
              <w:t>0.008</w:t>
            </w:r>
          </w:p>
        </w:tc>
        <w:tc>
          <w:tcPr>
            <w:tcW w:w="1276" w:type="dxa"/>
          </w:tcPr>
          <w:p w:rsidR="00A92197" w:rsidRPr="00F7252C" w:rsidRDefault="00941040" w:rsidP="00D435AA">
            <w:pPr>
              <w:tabs>
                <w:tab w:val="left" w:pos="567"/>
                <w:tab w:val="left" w:pos="885"/>
              </w:tabs>
              <w:ind w:right="268"/>
              <w:jc w:val="right"/>
              <w:rPr>
                <w:rFonts w:ascii="Arial" w:hAnsi="Arial" w:cs="Arial"/>
                <w:sz w:val="24"/>
                <w:szCs w:val="24"/>
              </w:rPr>
            </w:pPr>
            <w:r>
              <w:rPr>
                <w:rFonts w:ascii="Arial" w:hAnsi="Arial" w:cs="Arial"/>
                <w:sz w:val="24"/>
                <w:szCs w:val="24"/>
              </w:rPr>
              <w:t>-0.513</w:t>
            </w:r>
          </w:p>
        </w:tc>
      </w:tr>
      <w:tr w:rsidR="00F37D77" w:rsidTr="00D435AA">
        <w:tc>
          <w:tcPr>
            <w:tcW w:w="3256" w:type="dxa"/>
          </w:tcPr>
          <w:p w:rsidR="00A92197" w:rsidRPr="00F7252C" w:rsidRDefault="00941040" w:rsidP="00D435AA">
            <w:pPr>
              <w:tabs>
                <w:tab w:val="left" w:pos="567"/>
                <w:tab w:val="left" w:pos="1134"/>
              </w:tabs>
              <w:rPr>
                <w:rFonts w:ascii="Arial" w:hAnsi="Arial" w:cs="Arial"/>
                <w:sz w:val="24"/>
                <w:szCs w:val="24"/>
              </w:rPr>
            </w:pPr>
            <w:r>
              <w:rPr>
                <w:rFonts w:ascii="Arial" w:hAnsi="Arial" w:cs="Arial"/>
                <w:sz w:val="24"/>
                <w:szCs w:val="24"/>
              </w:rPr>
              <w:t>Children and Young People</w:t>
            </w:r>
          </w:p>
        </w:tc>
        <w:tc>
          <w:tcPr>
            <w:tcW w:w="1275" w:type="dxa"/>
          </w:tcPr>
          <w:p w:rsidR="00A92197" w:rsidRPr="00F7252C" w:rsidRDefault="00941040" w:rsidP="00D435AA">
            <w:pPr>
              <w:tabs>
                <w:tab w:val="left" w:pos="567"/>
                <w:tab w:val="left" w:pos="885"/>
              </w:tabs>
              <w:ind w:right="268"/>
              <w:jc w:val="right"/>
              <w:rPr>
                <w:rFonts w:ascii="Arial" w:hAnsi="Arial" w:cs="Arial"/>
                <w:sz w:val="24"/>
                <w:szCs w:val="24"/>
              </w:rPr>
            </w:pPr>
            <w:r>
              <w:rPr>
                <w:rFonts w:ascii="Arial" w:hAnsi="Arial" w:cs="Arial"/>
                <w:sz w:val="24"/>
                <w:szCs w:val="24"/>
              </w:rPr>
              <w:t>0.013</w:t>
            </w:r>
          </w:p>
        </w:tc>
        <w:tc>
          <w:tcPr>
            <w:tcW w:w="1798" w:type="dxa"/>
          </w:tcPr>
          <w:p w:rsidR="00A92197" w:rsidRPr="00F7252C" w:rsidRDefault="00941040" w:rsidP="00D435AA">
            <w:pPr>
              <w:tabs>
                <w:tab w:val="left" w:pos="567"/>
                <w:tab w:val="left" w:pos="885"/>
              </w:tabs>
              <w:ind w:right="268"/>
              <w:jc w:val="right"/>
              <w:rPr>
                <w:rFonts w:ascii="Arial" w:hAnsi="Arial" w:cs="Arial"/>
                <w:sz w:val="24"/>
                <w:szCs w:val="24"/>
              </w:rPr>
            </w:pPr>
            <w:r>
              <w:rPr>
                <w:rFonts w:ascii="Arial" w:hAnsi="Arial" w:cs="Arial"/>
                <w:sz w:val="24"/>
                <w:szCs w:val="24"/>
              </w:rPr>
              <w:t>-0.001</w:t>
            </w:r>
          </w:p>
        </w:tc>
        <w:tc>
          <w:tcPr>
            <w:tcW w:w="1604" w:type="dxa"/>
          </w:tcPr>
          <w:p w:rsidR="00A92197" w:rsidRPr="00F7252C" w:rsidRDefault="00941040" w:rsidP="00D435AA">
            <w:pPr>
              <w:tabs>
                <w:tab w:val="left" w:pos="567"/>
                <w:tab w:val="left" w:pos="885"/>
              </w:tabs>
              <w:ind w:right="268"/>
              <w:jc w:val="right"/>
              <w:rPr>
                <w:rFonts w:ascii="Arial" w:hAnsi="Arial" w:cs="Arial"/>
                <w:sz w:val="24"/>
                <w:szCs w:val="24"/>
              </w:rPr>
            </w:pPr>
            <w:r>
              <w:rPr>
                <w:rFonts w:ascii="Arial" w:hAnsi="Arial" w:cs="Arial"/>
                <w:sz w:val="24"/>
                <w:szCs w:val="24"/>
              </w:rPr>
              <w:t>0.014</w:t>
            </w:r>
          </w:p>
        </w:tc>
        <w:tc>
          <w:tcPr>
            <w:tcW w:w="1276" w:type="dxa"/>
          </w:tcPr>
          <w:p w:rsidR="00A92197" w:rsidRPr="00F7252C" w:rsidRDefault="00941040" w:rsidP="00D435AA">
            <w:pPr>
              <w:tabs>
                <w:tab w:val="left" w:pos="567"/>
                <w:tab w:val="left" w:pos="885"/>
              </w:tabs>
              <w:ind w:right="268"/>
              <w:jc w:val="right"/>
              <w:rPr>
                <w:rFonts w:ascii="Arial" w:hAnsi="Arial" w:cs="Arial"/>
                <w:sz w:val="24"/>
                <w:szCs w:val="24"/>
              </w:rPr>
            </w:pPr>
            <w:r>
              <w:rPr>
                <w:rFonts w:ascii="Arial" w:hAnsi="Arial" w:cs="Arial"/>
                <w:sz w:val="24"/>
                <w:szCs w:val="24"/>
              </w:rPr>
              <w:t>-</w:t>
            </w:r>
          </w:p>
        </w:tc>
      </w:tr>
      <w:tr w:rsidR="00F37D77" w:rsidTr="00D435AA">
        <w:tc>
          <w:tcPr>
            <w:tcW w:w="3256" w:type="dxa"/>
          </w:tcPr>
          <w:p w:rsidR="00A92197" w:rsidRPr="00F7252C" w:rsidRDefault="00941040" w:rsidP="00D435AA">
            <w:pPr>
              <w:tabs>
                <w:tab w:val="left" w:pos="567"/>
                <w:tab w:val="left" w:pos="1134"/>
              </w:tabs>
              <w:rPr>
                <w:rFonts w:ascii="Arial" w:hAnsi="Arial" w:cs="Arial"/>
                <w:sz w:val="24"/>
                <w:szCs w:val="24"/>
              </w:rPr>
            </w:pPr>
            <w:r>
              <w:rPr>
                <w:rFonts w:ascii="Arial" w:hAnsi="Arial" w:cs="Arial"/>
                <w:sz w:val="24"/>
                <w:szCs w:val="24"/>
              </w:rPr>
              <w:t>Highways</w:t>
            </w:r>
          </w:p>
        </w:tc>
        <w:tc>
          <w:tcPr>
            <w:tcW w:w="1275" w:type="dxa"/>
          </w:tcPr>
          <w:p w:rsidR="00A92197" w:rsidRPr="00F7252C" w:rsidRDefault="00941040" w:rsidP="00D435AA">
            <w:pPr>
              <w:tabs>
                <w:tab w:val="left" w:pos="567"/>
                <w:tab w:val="left" w:pos="885"/>
              </w:tabs>
              <w:ind w:right="268"/>
              <w:jc w:val="right"/>
              <w:rPr>
                <w:rFonts w:ascii="Arial" w:hAnsi="Arial" w:cs="Arial"/>
                <w:sz w:val="24"/>
                <w:szCs w:val="24"/>
              </w:rPr>
            </w:pPr>
            <w:r>
              <w:rPr>
                <w:rFonts w:ascii="Arial" w:hAnsi="Arial" w:cs="Arial"/>
                <w:sz w:val="24"/>
                <w:szCs w:val="24"/>
              </w:rPr>
              <w:t>0.500</w:t>
            </w:r>
          </w:p>
        </w:tc>
        <w:tc>
          <w:tcPr>
            <w:tcW w:w="1798" w:type="dxa"/>
          </w:tcPr>
          <w:p w:rsidR="00A92197" w:rsidRPr="00F7252C" w:rsidRDefault="00941040" w:rsidP="00D435AA">
            <w:pPr>
              <w:tabs>
                <w:tab w:val="left" w:pos="567"/>
                <w:tab w:val="left" w:pos="885"/>
              </w:tabs>
              <w:ind w:right="268"/>
              <w:jc w:val="right"/>
              <w:rPr>
                <w:rFonts w:ascii="Arial" w:hAnsi="Arial" w:cs="Arial"/>
                <w:sz w:val="24"/>
                <w:szCs w:val="24"/>
              </w:rPr>
            </w:pPr>
            <w:r>
              <w:rPr>
                <w:rFonts w:ascii="Arial" w:hAnsi="Arial" w:cs="Arial"/>
                <w:sz w:val="24"/>
                <w:szCs w:val="24"/>
              </w:rPr>
              <w:t>-</w:t>
            </w:r>
          </w:p>
        </w:tc>
        <w:tc>
          <w:tcPr>
            <w:tcW w:w="1604" w:type="dxa"/>
          </w:tcPr>
          <w:p w:rsidR="00A92197" w:rsidRPr="00F7252C" w:rsidRDefault="00941040" w:rsidP="00D435AA">
            <w:pPr>
              <w:tabs>
                <w:tab w:val="left" w:pos="567"/>
                <w:tab w:val="left" w:pos="885"/>
              </w:tabs>
              <w:ind w:right="268"/>
              <w:jc w:val="right"/>
              <w:rPr>
                <w:rFonts w:ascii="Arial" w:hAnsi="Arial" w:cs="Arial"/>
                <w:sz w:val="24"/>
                <w:szCs w:val="24"/>
              </w:rPr>
            </w:pPr>
            <w:r>
              <w:rPr>
                <w:rFonts w:ascii="Arial" w:hAnsi="Arial" w:cs="Arial"/>
                <w:sz w:val="24"/>
                <w:szCs w:val="24"/>
              </w:rPr>
              <w:t>0.500</w:t>
            </w:r>
          </w:p>
        </w:tc>
        <w:tc>
          <w:tcPr>
            <w:tcW w:w="1276" w:type="dxa"/>
          </w:tcPr>
          <w:p w:rsidR="00A92197" w:rsidRPr="00F7252C" w:rsidRDefault="00941040" w:rsidP="00D435AA">
            <w:pPr>
              <w:tabs>
                <w:tab w:val="left" w:pos="567"/>
                <w:tab w:val="left" w:pos="885"/>
              </w:tabs>
              <w:ind w:right="268"/>
              <w:jc w:val="right"/>
              <w:rPr>
                <w:rFonts w:ascii="Arial" w:hAnsi="Arial" w:cs="Arial"/>
                <w:sz w:val="24"/>
                <w:szCs w:val="24"/>
              </w:rPr>
            </w:pPr>
            <w:r>
              <w:rPr>
                <w:rFonts w:ascii="Arial" w:hAnsi="Arial" w:cs="Arial"/>
                <w:sz w:val="24"/>
                <w:szCs w:val="24"/>
              </w:rPr>
              <w:t>-</w:t>
            </w:r>
          </w:p>
        </w:tc>
      </w:tr>
      <w:tr w:rsidR="00F37D77" w:rsidTr="00D435AA">
        <w:tc>
          <w:tcPr>
            <w:tcW w:w="3256" w:type="dxa"/>
          </w:tcPr>
          <w:p w:rsidR="00A92197" w:rsidRPr="00F7252C" w:rsidRDefault="00941040" w:rsidP="00D435AA">
            <w:pPr>
              <w:tabs>
                <w:tab w:val="left" w:pos="567"/>
                <w:tab w:val="left" w:pos="1134"/>
              </w:tabs>
              <w:rPr>
                <w:rFonts w:ascii="Arial" w:hAnsi="Arial" w:cs="Arial"/>
                <w:sz w:val="24"/>
                <w:szCs w:val="24"/>
              </w:rPr>
            </w:pPr>
            <w:r>
              <w:rPr>
                <w:rFonts w:ascii="Arial" w:hAnsi="Arial" w:cs="Arial"/>
                <w:sz w:val="24"/>
                <w:szCs w:val="24"/>
              </w:rPr>
              <w:t>Corporate</w:t>
            </w:r>
          </w:p>
        </w:tc>
        <w:tc>
          <w:tcPr>
            <w:tcW w:w="1275" w:type="dxa"/>
          </w:tcPr>
          <w:p w:rsidR="00A92197" w:rsidRPr="00F7252C" w:rsidRDefault="00941040" w:rsidP="00D435AA">
            <w:pPr>
              <w:tabs>
                <w:tab w:val="left" w:pos="567"/>
                <w:tab w:val="left" w:pos="885"/>
              </w:tabs>
              <w:ind w:right="268"/>
              <w:jc w:val="right"/>
              <w:rPr>
                <w:rFonts w:ascii="Arial" w:hAnsi="Arial" w:cs="Arial"/>
                <w:sz w:val="24"/>
                <w:szCs w:val="24"/>
              </w:rPr>
            </w:pPr>
            <w:r>
              <w:rPr>
                <w:rFonts w:ascii="Arial" w:hAnsi="Arial" w:cs="Arial"/>
                <w:sz w:val="24"/>
                <w:szCs w:val="24"/>
              </w:rPr>
              <w:t>-2.315</w:t>
            </w:r>
          </w:p>
        </w:tc>
        <w:tc>
          <w:tcPr>
            <w:tcW w:w="1798" w:type="dxa"/>
          </w:tcPr>
          <w:p w:rsidR="00A92197" w:rsidRPr="00F7252C" w:rsidRDefault="00941040" w:rsidP="00D435AA">
            <w:pPr>
              <w:tabs>
                <w:tab w:val="left" w:pos="567"/>
                <w:tab w:val="left" w:pos="885"/>
              </w:tabs>
              <w:ind w:right="268"/>
              <w:jc w:val="right"/>
              <w:rPr>
                <w:rFonts w:ascii="Arial" w:hAnsi="Arial" w:cs="Arial"/>
                <w:sz w:val="24"/>
                <w:szCs w:val="24"/>
              </w:rPr>
            </w:pPr>
            <w:r>
              <w:rPr>
                <w:rFonts w:ascii="Arial" w:hAnsi="Arial" w:cs="Arial"/>
                <w:sz w:val="24"/>
                <w:szCs w:val="24"/>
              </w:rPr>
              <w:t>-</w:t>
            </w:r>
          </w:p>
        </w:tc>
        <w:tc>
          <w:tcPr>
            <w:tcW w:w="1604" w:type="dxa"/>
          </w:tcPr>
          <w:p w:rsidR="00A92197" w:rsidRPr="00F7252C" w:rsidRDefault="00941040" w:rsidP="00D435AA">
            <w:pPr>
              <w:tabs>
                <w:tab w:val="left" w:pos="567"/>
                <w:tab w:val="left" w:pos="885"/>
              </w:tabs>
              <w:ind w:right="268"/>
              <w:jc w:val="right"/>
              <w:rPr>
                <w:rFonts w:ascii="Arial" w:hAnsi="Arial" w:cs="Arial"/>
                <w:sz w:val="24"/>
                <w:szCs w:val="24"/>
              </w:rPr>
            </w:pPr>
            <w:r>
              <w:rPr>
                <w:rFonts w:ascii="Arial" w:hAnsi="Arial" w:cs="Arial"/>
                <w:sz w:val="24"/>
                <w:szCs w:val="24"/>
              </w:rPr>
              <w:t>-</w:t>
            </w:r>
          </w:p>
        </w:tc>
        <w:tc>
          <w:tcPr>
            <w:tcW w:w="1276" w:type="dxa"/>
          </w:tcPr>
          <w:p w:rsidR="00A92197" w:rsidRPr="00F7252C" w:rsidRDefault="00941040" w:rsidP="00D435AA">
            <w:pPr>
              <w:tabs>
                <w:tab w:val="left" w:pos="567"/>
                <w:tab w:val="left" w:pos="885"/>
              </w:tabs>
              <w:ind w:right="268"/>
              <w:jc w:val="right"/>
              <w:rPr>
                <w:rFonts w:ascii="Arial" w:hAnsi="Arial" w:cs="Arial"/>
                <w:sz w:val="24"/>
                <w:szCs w:val="24"/>
              </w:rPr>
            </w:pPr>
            <w:r>
              <w:rPr>
                <w:rFonts w:ascii="Arial" w:hAnsi="Arial" w:cs="Arial"/>
                <w:sz w:val="24"/>
                <w:szCs w:val="24"/>
              </w:rPr>
              <w:t>-2.315</w:t>
            </w:r>
          </w:p>
        </w:tc>
      </w:tr>
      <w:tr w:rsidR="00F37D77" w:rsidTr="00D435AA">
        <w:tc>
          <w:tcPr>
            <w:tcW w:w="3256" w:type="dxa"/>
          </w:tcPr>
          <w:p w:rsidR="00A92197" w:rsidRPr="00F7252C" w:rsidRDefault="00941040" w:rsidP="00D435AA">
            <w:pPr>
              <w:tabs>
                <w:tab w:val="left" w:pos="567"/>
                <w:tab w:val="left" w:pos="1134"/>
              </w:tabs>
              <w:rPr>
                <w:rFonts w:ascii="Arial" w:hAnsi="Arial" w:cs="Arial"/>
                <w:b/>
                <w:sz w:val="24"/>
                <w:szCs w:val="24"/>
              </w:rPr>
            </w:pPr>
            <w:r>
              <w:rPr>
                <w:rFonts w:ascii="Arial" w:hAnsi="Arial" w:cs="Arial"/>
                <w:b/>
                <w:sz w:val="24"/>
                <w:szCs w:val="24"/>
              </w:rPr>
              <w:t>Totals</w:t>
            </w:r>
          </w:p>
        </w:tc>
        <w:tc>
          <w:tcPr>
            <w:tcW w:w="1275" w:type="dxa"/>
          </w:tcPr>
          <w:p w:rsidR="00A92197" w:rsidRPr="00F7252C" w:rsidRDefault="00941040" w:rsidP="00D435AA">
            <w:pPr>
              <w:tabs>
                <w:tab w:val="left" w:pos="567"/>
                <w:tab w:val="left" w:pos="885"/>
              </w:tabs>
              <w:ind w:right="268"/>
              <w:jc w:val="right"/>
              <w:rPr>
                <w:rFonts w:ascii="Arial" w:hAnsi="Arial" w:cs="Arial"/>
                <w:b/>
                <w:sz w:val="24"/>
                <w:szCs w:val="24"/>
              </w:rPr>
            </w:pPr>
            <w:r>
              <w:rPr>
                <w:rFonts w:ascii="Arial" w:hAnsi="Arial" w:cs="Arial"/>
                <w:b/>
                <w:sz w:val="24"/>
                <w:szCs w:val="24"/>
              </w:rPr>
              <w:t>-3.435</w:t>
            </w:r>
          </w:p>
        </w:tc>
        <w:tc>
          <w:tcPr>
            <w:tcW w:w="1798" w:type="dxa"/>
          </w:tcPr>
          <w:p w:rsidR="00A92197" w:rsidRPr="00F7252C" w:rsidRDefault="00941040" w:rsidP="00D435AA">
            <w:pPr>
              <w:tabs>
                <w:tab w:val="left" w:pos="567"/>
                <w:tab w:val="left" w:pos="885"/>
              </w:tabs>
              <w:ind w:right="268"/>
              <w:jc w:val="right"/>
              <w:rPr>
                <w:rFonts w:ascii="Arial" w:hAnsi="Arial" w:cs="Arial"/>
                <w:b/>
                <w:sz w:val="24"/>
                <w:szCs w:val="24"/>
              </w:rPr>
            </w:pPr>
            <w:r>
              <w:rPr>
                <w:rFonts w:ascii="Arial" w:hAnsi="Arial" w:cs="Arial"/>
                <w:b/>
                <w:sz w:val="24"/>
                <w:szCs w:val="24"/>
              </w:rPr>
              <w:t>-1.128</w:t>
            </w:r>
          </w:p>
        </w:tc>
        <w:tc>
          <w:tcPr>
            <w:tcW w:w="1604" w:type="dxa"/>
          </w:tcPr>
          <w:p w:rsidR="00A92197" w:rsidRPr="00F7252C" w:rsidRDefault="00941040" w:rsidP="00D435AA">
            <w:pPr>
              <w:tabs>
                <w:tab w:val="left" w:pos="567"/>
                <w:tab w:val="left" w:pos="885"/>
              </w:tabs>
              <w:ind w:right="268"/>
              <w:jc w:val="right"/>
              <w:rPr>
                <w:rFonts w:ascii="Arial" w:hAnsi="Arial" w:cs="Arial"/>
                <w:b/>
                <w:sz w:val="24"/>
                <w:szCs w:val="24"/>
              </w:rPr>
            </w:pPr>
            <w:r>
              <w:rPr>
                <w:rFonts w:ascii="Arial" w:hAnsi="Arial" w:cs="Arial"/>
                <w:b/>
                <w:sz w:val="24"/>
                <w:szCs w:val="24"/>
              </w:rPr>
              <w:t>0.522</w:t>
            </w:r>
          </w:p>
        </w:tc>
        <w:tc>
          <w:tcPr>
            <w:tcW w:w="1276" w:type="dxa"/>
          </w:tcPr>
          <w:p w:rsidR="00A92197" w:rsidRPr="00F7252C" w:rsidRDefault="00941040" w:rsidP="00D435AA">
            <w:pPr>
              <w:tabs>
                <w:tab w:val="left" w:pos="567"/>
                <w:tab w:val="left" w:pos="885"/>
              </w:tabs>
              <w:ind w:right="268"/>
              <w:jc w:val="right"/>
              <w:rPr>
                <w:rFonts w:ascii="Arial" w:hAnsi="Arial" w:cs="Arial"/>
                <w:b/>
                <w:sz w:val="24"/>
                <w:szCs w:val="24"/>
              </w:rPr>
            </w:pPr>
            <w:r>
              <w:rPr>
                <w:rFonts w:ascii="Arial" w:hAnsi="Arial" w:cs="Arial"/>
                <w:b/>
                <w:sz w:val="24"/>
                <w:szCs w:val="24"/>
              </w:rPr>
              <w:t>-2.828</w:t>
            </w:r>
          </w:p>
        </w:tc>
      </w:tr>
    </w:tbl>
    <w:p w:rsidR="00A92197" w:rsidRDefault="00941040" w:rsidP="00A92197">
      <w:pPr>
        <w:tabs>
          <w:tab w:val="left" w:pos="567"/>
          <w:tab w:val="left" w:pos="1134"/>
        </w:tabs>
        <w:spacing w:after="0"/>
        <w:rPr>
          <w:rFonts w:ascii="Arial" w:hAnsi="Arial" w:cs="Arial"/>
          <w:b/>
          <w:sz w:val="24"/>
          <w:szCs w:val="24"/>
        </w:rPr>
      </w:pPr>
    </w:p>
    <w:p w:rsidR="00A92197" w:rsidRDefault="00941040" w:rsidP="00A92197">
      <w:pPr>
        <w:tabs>
          <w:tab w:val="left" w:pos="567"/>
          <w:tab w:val="left" w:pos="1134"/>
        </w:tabs>
        <w:spacing w:after="0"/>
        <w:jc w:val="both"/>
        <w:rPr>
          <w:rFonts w:ascii="Arial" w:hAnsi="Arial" w:cs="Arial"/>
          <w:sz w:val="24"/>
          <w:szCs w:val="24"/>
        </w:rPr>
      </w:pPr>
      <w:r w:rsidRPr="00D51C25">
        <w:rPr>
          <w:rFonts w:ascii="Arial" w:hAnsi="Arial" w:cs="Arial"/>
          <w:sz w:val="24"/>
          <w:szCs w:val="24"/>
        </w:rPr>
        <w:t xml:space="preserve">This breaks down the variances forecast between differences in spend on projects and differences in timing of delivery of projects.  No variance is currently forecast against </w:t>
      </w:r>
      <w:r w:rsidRPr="00D51C25">
        <w:rPr>
          <w:rFonts w:ascii="Arial" w:hAnsi="Arial" w:cs="Arial"/>
          <w:sz w:val="24"/>
          <w:szCs w:val="24"/>
        </w:rPr>
        <w:t>schemes slipped for delivery from 2017/18.</w:t>
      </w:r>
    </w:p>
    <w:p w:rsidR="00A92197" w:rsidRDefault="00941040" w:rsidP="00A92197">
      <w:pPr>
        <w:tabs>
          <w:tab w:val="left" w:pos="567"/>
          <w:tab w:val="left" w:pos="1134"/>
        </w:tabs>
        <w:spacing w:after="0"/>
        <w:jc w:val="both"/>
        <w:rPr>
          <w:rFonts w:ascii="Arial" w:hAnsi="Arial" w:cs="Arial"/>
          <w:sz w:val="24"/>
          <w:szCs w:val="24"/>
        </w:rPr>
      </w:pPr>
    </w:p>
    <w:p w:rsidR="00A92197" w:rsidRDefault="00941040" w:rsidP="00A92197">
      <w:pPr>
        <w:tabs>
          <w:tab w:val="left" w:pos="567"/>
          <w:tab w:val="left" w:pos="1134"/>
        </w:tabs>
        <w:spacing w:after="0"/>
        <w:jc w:val="both"/>
        <w:rPr>
          <w:rFonts w:ascii="Arial" w:hAnsi="Arial" w:cs="Arial"/>
          <w:sz w:val="24"/>
          <w:szCs w:val="24"/>
        </w:rPr>
      </w:pPr>
      <w:r w:rsidRPr="00D51C25">
        <w:rPr>
          <w:rFonts w:ascii="Arial" w:hAnsi="Arial" w:cs="Arial"/>
          <w:sz w:val="24"/>
          <w:szCs w:val="24"/>
        </w:rPr>
        <w:t xml:space="preserve">From the above we are </w:t>
      </w:r>
      <w:r>
        <w:rPr>
          <w:rFonts w:ascii="Arial" w:hAnsi="Arial" w:cs="Arial"/>
          <w:sz w:val="24"/>
          <w:szCs w:val="24"/>
        </w:rPr>
        <w:t xml:space="preserve">forecasting </w:t>
      </w:r>
      <w:r w:rsidRPr="00D51C25">
        <w:rPr>
          <w:rFonts w:ascii="Arial" w:hAnsi="Arial" w:cs="Arial"/>
          <w:sz w:val="24"/>
          <w:szCs w:val="24"/>
        </w:rPr>
        <w:t xml:space="preserve">a net underspend of £0.606m </w:t>
      </w:r>
      <w:r>
        <w:rPr>
          <w:rFonts w:ascii="Arial" w:hAnsi="Arial" w:cs="Arial"/>
          <w:sz w:val="24"/>
          <w:szCs w:val="24"/>
        </w:rPr>
        <w:t xml:space="preserve">(£1.128m underspend and £0.522m overspend </w:t>
      </w:r>
      <w:r w:rsidRPr="00D51C25">
        <w:rPr>
          <w:rFonts w:ascii="Arial" w:hAnsi="Arial" w:cs="Arial"/>
          <w:sz w:val="24"/>
          <w:szCs w:val="24"/>
        </w:rPr>
        <w:t xml:space="preserve">on </w:t>
      </w:r>
      <w:r>
        <w:rPr>
          <w:rFonts w:ascii="Arial" w:hAnsi="Arial" w:cs="Arial"/>
          <w:sz w:val="24"/>
          <w:szCs w:val="24"/>
        </w:rPr>
        <w:t xml:space="preserve">completed </w:t>
      </w:r>
      <w:r w:rsidRPr="00D51C25">
        <w:rPr>
          <w:rFonts w:ascii="Arial" w:hAnsi="Arial" w:cs="Arial"/>
          <w:sz w:val="24"/>
          <w:szCs w:val="24"/>
        </w:rPr>
        <w:t xml:space="preserve">projects delivered this year with a further £2.828m currently forecast </w:t>
      </w:r>
      <w:r>
        <w:rPr>
          <w:rFonts w:ascii="Arial" w:hAnsi="Arial" w:cs="Arial"/>
          <w:sz w:val="24"/>
          <w:szCs w:val="24"/>
        </w:rPr>
        <w:t>at risk of being</w:t>
      </w:r>
      <w:r w:rsidRPr="00D51C25">
        <w:rPr>
          <w:rFonts w:ascii="Arial" w:hAnsi="Arial" w:cs="Arial"/>
          <w:sz w:val="24"/>
          <w:szCs w:val="24"/>
        </w:rPr>
        <w:t xml:space="preserve"> slipped</w:t>
      </w:r>
      <w:r w:rsidRPr="00D51C25">
        <w:rPr>
          <w:rFonts w:ascii="Arial" w:hAnsi="Arial" w:cs="Arial"/>
          <w:sz w:val="24"/>
          <w:szCs w:val="24"/>
        </w:rPr>
        <w:t xml:space="preserve"> for later delivery. </w:t>
      </w:r>
    </w:p>
    <w:p w:rsidR="000463F6" w:rsidRDefault="00941040" w:rsidP="000A0928">
      <w:pPr>
        <w:pStyle w:val="ListParagraph"/>
        <w:tabs>
          <w:tab w:val="left" w:pos="567"/>
          <w:tab w:val="left" w:pos="1134"/>
        </w:tabs>
        <w:spacing w:after="0"/>
        <w:ind w:left="0"/>
        <w:rPr>
          <w:rFonts w:ascii="Arial" w:hAnsi="Arial" w:cs="Arial"/>
          <w:b/>
          <w:sz w:val="24"/>
          <w:szCs w:val="24"/>
        </w:rPr>
      </w:pPr>
    </w:p>
    <w:p w:rsidR="006078C4" w:rsidRDefault="00941040" w:rsidP="000A0928">
      <w:pPr>
        <w:pStyle w:val="ListParagraph"/>
        <w:tabs>
          <w:tab w:val="left" w:pos="567"/>
          <w:tab w:val="left" w:pos="1134"/>
        </w:tabs>
        <w:spacing w:after="0"/>
        <w:ind w:left="0"/>
        <w:rPr>
          <w:rFonts w:ascii="Arial" w:hAnsi="Arial" w:cs="Arial"/>
          <w:b/>
          <w:sz w:val="24"/>
          <w:szCs w:val="24"/>
        </w:rPr>
      </w:pPr>
    </w:p>
    <w:p w:rsidR="00C76E93" w:rsidRPr="00D51C25" w:rsidRDefault="00941040" w:rsidP="00B65298">
      <w:pPr>
        <w:pStyle w:val="ListParagraph"/>
        <w:tabs>
          <w:tab w:val="left" w:pos="567"/>
          <w:tab w:val="left" w:pos="1134"/>
        </w:tabs>
        <w:spacing w:after="0"/>
        <w:ind w:left="0"/>
        <w:rPr>
          <w:rFonts w:ascii="Arial" w:hAnsi="Arial" w:cs="Arial"/>
          <w:b/>
          <w:sz w:val="24"/>
          <w:szCs w:val="24"/>
        </w:rPr>
      </w:pPr>
      <w:r>
        <w:rPr>
          <w:rFonts w:ascii="Arial" w:hAnsi="Arial" w:cs="Arial"/>
          <w:b/>
          <w:sz w:val="24"/>
          <w:szCs w:val="24"/>
        </w:rPr>
        <w:t xml:space="preserve">3.  </w:t>
      </w:r>
      <w:r w:rsidRPr="00D51C25">
        <w:rPr>
          <w:rFonts w:ascii="Arial" w:hAnsi="Arial" w:cs="Arial"/>
          <w:b/>
          <w:sz w:val="24"/>
          <w:szCs w:val="24"/>
        </w:rPr>
        <w:t>Quarter 1 Monitoring</w:t>
      </w:r>
      <w:r>
        <w:rPr>
          <w:rFonts w:ascii="Arial" w:hAnsi="Arial" w:cs="Arial"/>
          <w:b/>
          <w:sz w:val="24"/>
          <w:szCs w:val="24"/>
        </w:rPr>
        <w:t xml:space="preserve"> Narrative</w:t>
      </w:r>
    </w:p>
    <w:p w:rsidR="000156CD" w:rsidRPr="007A49AB" w:rsidRDefault="00941040" w:rsidP="007A49AB">
      <w:pPr>
        <w:tabs>
          <w:tab w:val="left" w:pos="567"/>
          <w:tab w:val="left" w:pos="1134"/>
        </w:tabs>
        <w:spacing w:after="0"/>
        <w:rPr>
          <w:rFonts w:ascii="Arial" w:hAnsi="Arial" w:cs="Arial"/>
          <w:b/>
          <w:sz w:val="24"/>
          <w:szCs w:val="24"/>
        </w:rPr>
      </w:pPr>
    </w:p>
    <w:p w:rsidR="000156CD" w:rsidRDefault="00941040" w:rsidP="00D51C25">
      <w:pPr>
        <w:pStyle w:val="ListParagraph"/>
        <w:tabs>
          <w:tab w:val="left" w:pos="567"/>
          <w:tab w:val="left" w:pos="1134"/>
        </w:tabs>
        <w:spacing w:after="0"/>
        <w:ind w:left="0"/>
        <w:rPr>
          <w:rFonts w:ascii="Arial" w:hAnsi="Arial" w:cs="Arial"/>
          <w:sz w:val="24"/>
          <w:szCs w:val="24"/>
        </w:rPr>
      </w:pPr>
      <w:r w:rsidRPr="00D51C25">
        <w:rPr>
          <w:rFonts w:ascii="Arial" w:hAnsi="Arial" w:cs="Arial"/>
          <w:sz w:val="24"/>
          <w:szCs w:val="24"/>
        </w:rPr>
        <w:t>Each block is analysed below showing key items of note this year, details of the spend on prior year slipped schemes and key items to note of the budgets reprofiled out of 2018-19 t</w:t>
      </w:r>
      <w:r>
        <w:rPr>
          <w:rFonts w:ascii="Arial" w:hAnsi="Arial" w:cs="Arial"/>
          <w:sz w:val="24"/>
          <w:szCs w:val="24"/>
        </w:rPr>
        <w:t xml:space="preserve">o future years </w:t>
      </w:r>
      <w:r>
        <w:rPr>
          <w:rFonts w:ascii="Arial" w:hAnsi="Arial" w:cs="Arial"/>
          <w:sz w:val="24"/>
          <w:szCs w:val="24"/>
        </w:rPr>
        <w:t>delivery plans.</w:t>
      </w:r>
    </w:p>
    <w:p w:rsidR="007A49AB" w:rsidRPr="00D51C25" w:rsidRDefault="00941040" w:rsidP="00D51C25">
      <w:pPr>
        <w:pStyle w:val="ListParagraph"/>
        <w:tabs>
          <w:tab w:val="left" w:pos="567"/>
          <w:tab w:val="left" w:pos="1134"/>
        </w:tabs>
        <w:spacing w:after="0"/>
        <w:ind w:left="0"/>
        <w:rPr>
          <w:rFonts w:ascii="Arial" w:hAnsi="Arial" w:cs="Arial"/>
          <w:sz w:val="24"/>
          <w:szCs w:val="24"/>
        </w:rPr>
      </w:pPr>
    </w:p>
    <w:p w:rsidR="000156CD" w:rsidRDefault="00941040" w:rsidP="00D51C25">
      <w:pPr>
        <w:tabs>
          <w:tab w:val="left" w:pos="567"/>
          <w:tab w:val="left" w:pos="1134"/>
        </w:tabs>
        <w:spacing w:after="0"/>
        <w:rPr>
          <w:rFonts w:ascii="Arial" w:hAnsi="Arial" w:cs="Arial"/>
          <w:b/>
          <w:sz w:val="24"/>
          <w:szCs w:val="24"/>
        </w:rPr>
      </w:pPr>
      <w:r w:rsidRPr="00D51C25">
        <w:rPr>
          <w:rFonts w:ascii="Arial" w:hAnsi="Arial" w:cs="Arial"/>
          <w:b/>
          <w:sz w:val="24"/>
          <w:szCs w:val="24"/>
        </w:rPr>
        <w:t>Children and Young People</w:t>
      </w:r>
    </w:p>
    <w:p w:rsidR="00EE3A9B" w:rsidRPr="00D51C25" w:rsidRDefault="00941040" w:rsidP="00D51C25">
      <w:pPr>
        <w:tabs>
          <w:tab w:val="left" w:pos="567"/>
          <w:tab w:val="left" w:pos="1134"/>
        </w:tabs>
        <w:spacing w:after="0"/>
        <w:rPr>
          <w:rFonts w:ascii="Arial" w:hAnsi="Arial" w:cs="Arial"/>
          <w:b/>
          <w:sz w:val="24"/>
          <w:szCs w:val="24"/>
        </w:rPr>
      </w:pPr>
    </w:p>
    <w:p w:rsidR="000156CD" w:rsidRDefault="00941040" w:rsidP="00D51C25">
      <w:pPr>
        <w:tabs>
          <w:tab w:val="left" w:pos="567"/>
          <w:tab w:val="left" w:pos="1134"/>
        </w:tabs>
        <w:spacing w:after="0"/>
        <w:jc w:val="both"/>
        <w:rPr>
          <w:rFonts w:ascii="Arial" w:hAnsi="Arial" w:cs="Arial"/>
          <w:b/>
          <w:sz w:val="24"/>
          <w:szCs w:val="24"/>
        </w:rPr>
      </w:pPr>
      <w:r w:rsidRPr="00D51C25">
        <w:rPr>
          <w:rFonts w:ascii="Arial" w:hAnsi="Arial" w:cs="Arial"/>
          <w:b/>
          <w:sz w:val="24"/>
          <w:szCs w:val="24"/>
        </w:rPr>
        <w:t>The Children and Young People capital programme budget for 2018/19 is £0.</w:t>
      </w:r>
      <w:r>
        <w:rPr>
          <w:rFonts w:ascii="Arial" w:hAnsi="Arial" w:cs="Arial"/>
          <w:b/>
          <w:sz w:val="24"/>
          <w:szCs w:val="24"/>
        </w:rPr>
        <w:t>644</w:t>
      </w:r>
      <w:r w:rsidRPr="00D51C25">
        <w:rPr>
          <w:rFonts w:ascii="Arial" w:hAnsi="Arial" w:cs="Arial"/>
          <w:b/>
          <w:sz w:val="24"/>
          <w:szCs w:val="24"/>
        </w:rPr>
        <w:t>m. Outturn spend against this budget is forecast at £0.</w:t>
      </w:r>
      <w:r>
        <w:rPr>
          <w:rFonts w:ascii="Arial" w:hAnsi="Arial" w:cs="Arial"/>
          <w:b/>
          <w:sz w:val="24"/>
          <w:szCs w:val="24"/>
        </w:rPr>
        <w:t>657</w:t>
      </w:r>
      <w:r w:rsidRPr="00D51C25">
        <w:rPr>
          <w:rFonts w:ascii="Arial" w:hAnsi="Arial" w:cs="Arial"/>
          <w:b/>
          <w:sz w:val="24"/>
          <w:szCs w:val="24"/>
        </w:rPr>
        <w:t xml:space="preserve">m, a variance of £0.013m. This variance </w:t>
      </w:r>
      <w:r>
        <w:rPr>
          <w:rFonts w:ascii="Arial" w:hAnsi="Arial" w:cs="Arial"/>
          <w:b/>
          <w:sz w:val="24"/>
          <w:szCs w:val="24"/>
        </w:rPr>
        <w:t>is net overspends on residential redes</w:t>
      </w:r>
      <w:r>
        <w:rPr>
          <w:rFonts w:ascii="Arial" w:hAnsi="Arial" w:cs="Arial"/>
          <w:b/>
          <w:sz w:val="24"/>
          <w:szCs w:val="24"/>
        </w:rPr>
        <w:t xml:space="preserve">ign projects delivered in year. </w:t>
      </w:r>
    </w:p>
    <w:p w:rsidR="00EE3A9B" w:rsidRPr="00D51C25" w:rsidRDefault="00941040" w:rsidP="00D51C25">
      <w:pPr>
        <w:tabs>
          <w:tab w:val="left" w:pos="567"/>
          <w:tab w:val="left" w:pos="1134"/>
        </w:tabs>
        <w:spacing w:after="0"/>
        <w:jc w:val="both"/>
        <w:rPr>
          <w:rFonts w:ascii="Arial" w:hAnsi="Arial" w:cs="Arial"/>
          <w:sz w:val="24"/>
          <w:szCs w:val="24"/>
        </w:rPr>
      </w:pPr>
    </w:p>
    <w:p w:rsidR="000156CD"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The current programme of work is aligned with the Children Looked After Residential strategy and concerns the refurbishment of several existing homes, including the necessary conversion work to establish a 2 bed crisis unit in Morecambe, an Adolescent Supp</w:t>
      </w:r>
      <w:r w:rsidRPr="00D51C25">
        <w:rPr>
          <w:rFonts w:ascii="Arial" w:hAnsi="Arial" w:cs="Arial"/>
          <w:sz w:val="24"/>
          <w:szCs w:val="24"/>
        </w:rPr>
        <w:t xml:space="preserve">ort Unit in Lancaster and a complex placement home in Preston. </w:t>
      </w:r>
    </w:p>
    <w:p w:rsidR="007A49AB" w:rsidRPr="00D51C25" w:rsidRDefault="00941040" w:rsidP="00D51C25">
      <w:pPr>
        <w:tabs>
          <w:tab w:val="left" w:pos="567"/>
          <w:tab w:val="left" w:pos="1134"/>
        </w:tabs>
        <w:spacing w:after="0"/>
        <w:jc w:val="both"/>
        <w:rPr>
          <w:rFonts w:ascii="Arial" w:hAnsi="Arial" w:cs="Arial"/>
          <w:sz w:val="24"/>
          <w:szCs w:val="24"/>
        </w:rPr>
      </w:pPr>
    </w:p>
    <w:p w:rsidR="000156CD" w:rsidRPr="00D51C25"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Additionally, £0.254m of budget slipped from prior years is forecast to be spent in 2018/19</w:t>
      </w:r>
      <w:r>
        <w:rPr>
          <w:rFonts w:ascii="Arial" w:hAnsi="Arial" w:cs="Arial"/>
          <w:sz w:val="24"/>
          <w:szCs w:val="24"/>
        </w:rPr>
        <w:t xml:space="preserve"> and on budget</w:t>
      </w:r>
      <w:r w:rsidRPr="00D51C25">
        <w:rPr>
          <w:rFonts w:ascii="Arial" w:hAnsi="Arial" w:cs="Arial"/>
          <w:sz w:val="24"/>
          <w:szCs w:val="24"/>
        </w:rPr>
        <w:t>, mainly concerned with the Tower Wood replacement jetties project.</w:t>
      </w:r>
      <w:r>
        <w:rPr>
          <w:rFonts w:ascii="Arial" w:hAnsi="Arial" w:cs="Arial"/>
          <w:sz w:val="24"/>
          <w:szCs w:val="24"/>
        </w:rPr>
        <w:t xml:space="preserve"> </w:t>
      </w:r>
      <w:r w:rsidRPr="00D51C25">
        <w:rPr>
          <w:rFonts w:ascii="Arial" w:hAnsi="Arial" w:cs="Arial"/>
          <w:sz w:val="24"/>
          <w:szCs w:val="24"/>
        </w:rPr>
        <w:t xml:space="preserve"> It is now planned to be completed on site mid-July 2018, work on site having previously been delayed from 2017/18 in accordance with instruction from the Environment Agency.</w:t>
      </w:r>
      <w:r>
        <w:rPr>
          <w:rFonts w:ascii="Arial" w:hAnsi="Arial" w:cs="Arial"/>
          <w:sz w:val="24"/>
          <w:szCs w:val="24"/>
        </w:rPr>
        <w:t xml:space="preserve"> </w:t>
      </w:r>
    </w:p>
    <w:p w:rsidR="000156CD" w:rsidRPr="00D51C25" w:rsidRDefault="00941040" w:rsidP="00D51C25">
      <w:pPr>
        <w:tabs>
          <w:tab w:val="left" w:pos="567"/>
          <w:tab w:val="left" w:pos="1134"/>
        </w:tabs>
        <w:spacing w:after="0"/>
        <w:rPr>
          <w:rFonts w:ascii="Arial" w:hAnsi="Arial" w:cs="Arial"/>
          <w:sz w:val="24"/>
          <w:szCs w:val="24"/>
        </w:rPr>
      </w:pPr>
    </w:p>
    <w:p w:rsidR="000156CD" w:rsidRDefault="00941040" w:rsidP="00D51C25">
      <w:pPr>
        <w:tabs>
          <w:tab w:val="left" w:pos="567"/>
          <w:tab w:val="left" w:pos="1134"/>
        </w:tabs>
        <w:spacing w:after="0"/>
        <w:rPr>
          <w:rFonts w:ascii="Arial" w:hAnsi="Arial" w:cs="Arial"/>
          <w:b/>
          <w:sz w:val="24"/>
          <w:szCs w:val="24"/>
        </w:rPr>
      </w:pPr>
      <w:r w:rsidRPr="00D51C25">
        <w:rPr>
          <w:rFonts w:ascii="Arial" w:hAnsi="Arial" w:cs="Arial"/>
          <w:b/>
          <w:sz w:val="24"/>
          <w:szCs w:val="24"/>
        </w:rPr>
        <w:t>Schools</w:t>
      </w:r>
    </w:p>
    <w:p w:rsidR="007A49AB" w:rsidRPr="00D51C25" w:rsidRDefault="00941040" w:rsidP="00D51C25">
      <w:pPr>
        <w:tabs>
          <w:tab w:val="left" w:pos="567"/>
          <w:tab w:val="left" w:pos="1134"/>
        </w:tabs>
        <w:spacing w:after="0"/>
        <w:rPr>
          <w:rFonts w:ascii="Arial" w:hAnsi="Arial" w:cs="Arial"/>
          <w:b/>
          <w:sz w:val="24"/>
          <w:szCs w:val="24"/>
        </w:rPr>
      </w:pPr>
    </w:p>
    <w:p w:rsidR="000156CD" w:rsidRDefault="00941040" w:rsidP="00D51C25">
      <w:pPr>
        <w:tabs>
          <w:tab w:val="left" w:pos="567"/>
          <w:tab w:val="left" w:pos="1134"/>
        </w:tabs>
        <w:spacing w:after="0"/>
        <w:jc w:val="both"/>
        <w:rPr>
          <w:rFonts w:ascii="Arial" w:hAnsi="Arial" w:cs="Arial"/>
          <w:b/>
          <w:sz w:val="24"/>
          <w:szCs w:val="24"/>
        </w:rPr>
      </w:pPr>
      <w:r w:rsidRPr="00D51C25">
        <w:rPr>
          <w:rFonts w:ascii="Arial" w:hAnsi="Arial" w:cs="Arial"/>
          <w:b/>
          <w:sz w:val="24"/>
          <w:szCs w:val="24"/>
        </w:rPr>
        <w:t>The Schools block capital programme budget for 2018/19 is £</w:t>
      </w:r>
      <w:r>
        <w:rPr>
          <w:rFonts w:ascii="Arial" w:hAnsi="Arial" w:cs="Arial"/>
          <w:b/>
          <w:sz w:val="24"/>
          <w:szCs w:val="24"/>
        </w:rPr>
        <w:t>25.594</w:t>
      </w:r>
      <w:r w:rsidRPr="00D51C25">
        <w:rPr>
          <w:rFonts w:ascii="Arial" w:hAnsi="Arial" w:cs="Arial"/>
          <w:b/>
          <w:sz w:val="24"/>
          <w:szCs w:val="24"/>
        </w:rPr>
        <w:t xml:space="preserve">m. </w:t>
      </w:r>
      <w:r>
        <w:rPr>
          <w:rFonts w:ascii="Arial" w:hAnsi="Arial" w:cs="Arial"/>
          <w:b/>
          <w:sz w:val="24"/>
          <w:szCs w:val="24"/>
        </w:rPr>
        <w:t xml:space="preserve"> </w:t>
      </w:r>
      <w:r w:rsidRPr="00D51C25">
        <w:rPr>
          <w:rFonts w:ascii="Arial" w:hAnsi="Arial" w:cs="Arial"/>
          <w:b/>
          <w:sz w:val="24"/>
          <w:szCs w:val="24"/>
        </w:rPr>
        <w:t>O</w:t>
      </w:r>
      <w:r w:rsidRPr="00D51C25">
        <w:rPr>
          <w:rFonts w:ascii="Arial" w:hAnsi="Arial" w:cs="Arial"/>
          <w:b/>
          <w:sz w:val="24"/>
          <w:szCs w:val="24"/>
        </w:rPr>
        <w:t>utturn spend against this budget is forecast at £</w:t>
      </w:r>
      <w:r>
        <w:rPr>
          <w:rFonts w:ascii="Arial" w:hAnsi="Arial" w:cs="Arial"/>
          <w:b/>
          <w:sz w:val="24"/>
          <w:szCs w:val="24"/>
        </w:rPr>
        <w:t>23.961</w:t>
      </w:r>
      <w:r w:rsidRPr="00D51C25">
        <w:rPr>
          <w:rFonts w:ascii="Arial" w:hAnsi="Arial" w:cs="Arial"/>
          <w:b/>
          <w:sz w:val="24"/>
          <w:szCs w:val="24"/>
        </w:rPr>
        <w:t xml:space="preserve">m, a variance of -£1.633m. </w:t>
      </w:r>
      <w:r>
        <w:rPr>
          <w:rFonts w:ascii="Arial" w:hAnsi="Arial" w:cs="Arial"/>
          <w:b/>
          <w:sz w:val="24"/>
          <w:szCs w:val="24"/>
        </w:rPr>
        <w:t xml:space="preserve"> </w:t>
      </w:r>
      <w:r w:rsidRPr="00D51C25">
        <w:rPr>
          <w:rFonts w:ascii="Arial" w:hAnsi="Arial" w:cs="Arial"/>
          <w:b/>
          <w:sz w:val="24"/>
          <w:szCs w:val="24"/>
        </w:rPr>
        <w:t>This variance can be summarised as follows:</w:t>
      </w:r>
    </w:p>
    <w:p w:rsidR="007A49AB" w:rsidRPr="00D51C25" w:rsidRDefault="00941040" w:rsidP="00D51C25">
      <w:pPr>
        <w:tabs>
          <w:tab w:val="left" w:pos="567"/>
          <w:tab w:val="left" w:pos="1134"/>
        </w:tabs>
        <w:spacing w:after="0"/>
        <w:jc w:val="both"/>
        <w:rPr>
          <w:rFonts w:ascii="Arial" w:hAnsi="Arial" w:cs="Arial"/>
          <w:sz w:val="24"/>
          <w:szCs w:val="24"/>
        </w:rPr>
      </w:pPr>
    </w:p>
    <w:p w:rsidR="000156CD" w:rsidRPr="00D51C25" w:rsidRDefault="00941040" w:rsidP="007A49AB">
      <w:pPr>
        <w:numPr>
          <w:ilvl w:val="0"/>
          <w:numId w:val="3"/>
        </w:numPr>
        <w:tabs>
          <w:tab w:val="left" w:pos="567"/>
          <w:tab w:val="left" w:pos="1134"/>
        </w:tabs>
        <w:autoSpaceDE w:val="0"/>
        <w:autoSpaceDN w:val="0"/>
        <w:adjustRightInd w:val="0"/>
        <w:spacing w:after="0" w:line="240" w:lineRule="auto"/>
        <w:ind w:left="567" w:hanging="567"/>
        <w:contextualSpacing/>
        <w:jc w:val="both"/>
        <w:rPr>
          <w:rFonts w:ascii="Arial" w:hAnsi="Arial" w:cs="Arial"/>
          <w:color w:val="000000" w:themeColor="text1"/>
          <w:sz w:val="24"/>
          <w:szCs w:val="24"/>
        </w:rPr>
      </w:pPr>
      <w:r w:rsidRPr="00D51C25">
        <w:rPr>
          <w:rFonts w:ascii="Arial" w:hAnsi="Arial" w:cs="Arial"/>
          <w:color w:val="000000" w:themeColor="text1"/>
          <w:sz w:val="24"/>
          <w:szCs w:val="24"/>
        </w:rPr>
        <w:t xml:space="preserve">£1.127m of forecast </w:t>
      </w:r>
      <w:r>
        <w:rPr>
          <w:rFonts w:ascii="Arial" w:hAnsi="Arial" w:cs="Arial"/>
          <w:color w:val="000000" w:themeColor="text1"/>
          <w:sz w:val="24"/>
          <w:szCs w:val="24"/>
        </w:rPr>
        <w:t>underspends</w:t>
      </w:r>
      <w:r w:rsidRPr="00D51C25">
        <w:rPr>
          <w:rFonts w:ascii="Arial" w:hAnsi="Arial" w:cs="Arial"/>
          <w:color w:val="000000" w:themeColor="text1"/>
          <w:sz w:val="24"/>
          <w:szCs w:val="24"/>
        </w:rPr>
        <w:t>.</w:t>
      </w:r>
    </w:p>
    <w:p w:rsidR="000156CD" w:rsidRPr="00D51C25" w:rsidRDefault="00941040" w:rsidP="007A49AB">
      <w:pPr>
        <w:numPr>
          <w:ilvl w:val="0"/>
          <w:numId w:val="3"/>
        </w:numPr>
        <w:tabs>
          <w:tab w:val="left" w:pos="567"/>
          <w:tab w:val="left" w:pos="1134"/>
        </w:tabs>
        <w:autoSpaceDE w:val="0"/>
        <w:autoSpaceDN w:val="0"/>
        <w:adjustRightInd w:val="0"/>
        <w:spacing w:after="0" w:line="240" w:lineRule="auto"/>
        <w:ind w:left="567" w:hanging="567"/>
        <w:contextualSpacing/>
        <w:jc w:val="both"/>
        <w:rPr>
          <w:rFonts w:ascii="Arial" w:hAnsi="Arial" w:cs="Arial"/>
          <w:color w:val="000000" w:themeColor="text1"/>
          <w:sz w:val="24"/>
          <w:szCs w:val="24"/>
        </w:rPr>
      </w:pPr>
      <w:r w:rsidRPr="00D51C25">
        <w:rPr>
          <w:rFonts w:ascii="Arial" w:hAnsi="Arial" w:cs="Arial"/>
          <w:color w:val="000000" w:themeColor="text1"/>
          <w:sz w:val="24"/>
          <w:szCs w:val="24"/>
        </w:rPr>
        <w:t>£0.008m of forecast overspends.</w:t>
      </w:r>
    </w:p>
    <w:p w:rsidR="000156CD" w:rsidRPr="00D51C25" w:rsidRDefault="00941040" w:rsidP="007A49AB">
      <w:pPr>
        <w:numPr>
          <w:ilvl w:val="0"/>
          <w:numId w:val="3"/>
        </w:numPr>
        <w:tabs>
          <w:tab w:val="left" w:pos="567"/>
          <w:tab w:val="left" w:pos="1134"/>
        </w:tabs>
        <w:autoSpaceDE w:val="0"/>
        <w:autoSpaceDN w:val="0"/>
        <w:adjustRightInd w:val="0"/>
        <w:spacing w:after="0" w:line="240" w:lineRule="auto"/>
        <w:ind w:left="567" w:hanging="567"/>
        <w:contextualSpacing/>
        <w:jc w:val="both"/>
        <w:rPr>
          <w:rFonts w:ascii="Arial" w:hAnsi="Arial" w:cs="Arial"/>
          <w:color w:val="000000" w:themeColor="text1"/>
          <w:sz w:val="24"/>
          <w:szCs w:val="24"/>
        </w:rPr>
      </w:pPr>
      <w:r w:rsidRPr="00D51C25">
        <w:rPr>
          <w:rFonts w:ascii="Arial" w:hAnsi="Arial" w:cs="Arial"/>
          <w:color w:val="000000" w:themeColor="text1"/>
          <w:sz w:val="24"/>
          <w:szCs w:val="24"/>
        </w:rPr>
        <w:t>£0.513m of forecast slipped delivery.</w:t>
      </w:r>
    </w:p>
    <w:p w:rsidR="007A49AB" w:rsidRPr="00D51C25" w:rsidRDefault="00941040" w:rsidP="00D51C25">
      <w:pPr>
        <w:tabs>
          <w:tab w:val="left" w:pos="567"/>
          <w:tab w:val="left" w:pos="1134"/>
        </w:tabs>
        <w:spacing w:after="0"/>
        <w:jc w:val="both"/>
        <w:rPr>
          <w:rFonts w:ascii="Arial" w:hAnsi="Arial" w:cs="Arial"/>
          <w:sz w:val="24"/>
          <w:szCs w:val="24"/>
        </w:rPr>
      </w:pPr>
    </w:p>
    <w:p w:rsidR="000156CD" w:rsidRPr="00D51C25"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 xml:space="preserve">In addition to the </w:t>
      </w:r>
      <w:r w:rsidRPr="00D51C25">
        <w:rPr>
          <w:rFonts w:ascii="Arial" w:hAnsi="Arial" w:cs="Arial"/>
          <w:sz w:val="24"/>
          <w:szCs w:val="24"/>
        </w:rPr>
        <w:t>£17.394m forecast, a further £6.566m is also f</w:t>
      </w:r>
      <w:r>
        <w:rPr>
          <w:rFonts w:ascii="Arial" w:hAnsi="Arial" w:cs="Arial"/>
          <w:sz w:val="24"/>
          <w:szCs w:val="24"/>
        </w:rPr>
        <w:t>orecast to be spent in relation to projects slipped from previous years</w:t>
      </w:r>
      <w:r w:rsidRPr="00D51C25">
        <w:rPr>
          <w:rFonts w:ascii="Arial" w:hAnsi="Arial" w:cs="Arial"/>
          <w:sz w:val="24"/>
          <w:szCs w:val="24"/>
        </w:rPr>
        <w:t xml:space="preserve">. </w:t>
      </w:r>
      <w:r>
        <w:rPr>
          <w:rFonts w:ascii="Arial" w:hAnsi="Arial" w:cs="Arial"/>
          <w:sz w:val="24"/>
          <w:szCs w:val="24"/>
        </w:rPr>
        <w:t xml:space="preserve"> </w:t>
      </w:r>
      <w:r w:rsidRPr="00D51C25">
        <w:rPr>
          <w:rFonts w:ascii="Arial" w:hAnsi="Arial" w:cs="Arial"/>
          <w:sz w:val="24"/>
          <w:szCs w:val="24"/>
        </w:rPr>
        <w:t xml:space="preserve">£2.767m refers to the DFC programme, £1.450m to the Basic Need programme and £1.348m to Condition projects. </w:t>
      </w:r>
    </w:p>
    <w:p w:rsidR="00FC2C4E" w:rsidRPr="00D51C25" w:rsidRDefault="00941040" w:rsidP="00D51C25">
      <w:pPr>
        <w:tabs>
          <w:tab w:val="left" w:pos="567"/>
          <w:tab w:val="left" w:pos="1134"/>
        </w:tabs>
        <w:spacing w:after="0"/>
        <w:rPr>
          <w:rFonts w:ascii="Arial" w:hAnsi="Arial" w:cs="Arial"/>
          <w:sz w:val="24"/>
          <w:szCs w:val="24"/>
        </w:rPr>
      </w:pPr>
    </w:p>
    <w:p w:rsidR="007A49AB" w:rsidRDefault="00941040" w:rsidP="00D51C25">
      <w:pPr>
        <w:tabs>
          <w:tab w:val="left" w:pos="567"/>
          <w:tab w:val="left" w:pos="1134"/>
        </w:tabs>
        <w:spacing w:after="0"/>
        <w:rPr>
          <w:rFonts w:ascii="Arial" w:hAnsi="Arial" w:cs="Arial"/>
          <w:b/>
          <w:sz w:val="24"/>
          <w:szCs w:val="24"/>
        </w:rPr>
      </w:pPr>
      <w:r w:rsidRPr="00D51C25">
        <w:rPr>
          <w:rFonts w:ascii="Arial" w:hAnsi="Arial" w:cs="Arial"/>
          <w:b/>
          <w:sz w:val="24"/>
          <w:szCs w:val="24"/>
        </w:rPr>
        <w:t>Basic Need</w:t>
      </w:r>
    </w:p>
    <w:p w:rsidR="007A49AB" w:rsidRPr="00D51C25" w:rsidRDefault="00941040" w:rsidP="00D51C25">
      <w:pPr>
        <w:tabs>
          <w:tab w:val="left" w:pos="567"/>
          <w:tab w:val="left" w:pos="1134"/>
        </w:tabs>
        <w:spacing w:after="0"/>
        <w:rPr>
          <w:rFonts w:ascii="Arial" w:hAnsi="Arial" w:cs="Arial"/>
          <w:b/>
          <w:sz w:val="24"/>
          <w:szCs w:val="24"/>
        </w:rPr>
      </w:pPr>
    </w:p>
    <w:p w:rsidR="00FC2C4E" w:rsidRPr="00D51C25" w:rsidRDefault="00941040" w:rsidP="00D51C25">
      <w:pPr>
        <w:tabs>
          <w:tab w:val="left" w:pos="567"/>
          <w:tab w:val="left" w:pos="1134"/>
        </w:tabs>
        <w:spacing w:after="0"/>
        <w:rPr>
          <w:rFonts w:ascii="Arial" w:hAnsi="Arial" w:cs="Arial"/>
          <w:bCs/>
          <w:sz w:val="24"/>
          <w:szCs w:val="24"/>
        </w:rPr>
      </w:pPr>
      <w:r w:rsidRPr="00D51C25">
        <w:rPr>
          <w:rFonts w:ascii="Arial" w:hAnsi="Arial" w:cs="Arial"/>
          <w:bCs/>
          <w:sz w:val="24"/>
          <w:szCs w:val="24"/>
        </w:rPr>
        <w:t>The Basic Need</w:t>
      </w:r>
      <w:r w:rsidRPr="00D51C25">
        <w:rPr>
          <w:rFonts w:ascii="Arial" w:hAnsi="Arial" w:cs="Arial"/>
          <w:bCs/>
          <w:sz w:val="24"/>
          <w:szCs w:val="24"/>
        </w:rPr>
        <w:t xml:space="preserve"> programme delivers works to increase capacity in school place provision across the county.</w:t>
      </w:r>
    </w:p>
    <w:p w:rsidR="000156CD" w:rsidRPr="00D51C25" w:rsidRDefault="00941040" w:rsidP="00D51C25">
      <w:pPr>
        <w:tabs>
          <w:tab w:val="left" w:pos="567"/>
          <w:tab w:val="left" w:pos="1134"/>
        </w:tabs>
        <w:spacing w:after="0"/>
        <w:rPr>
          <w:rFonts w:ascii="Arial" w:hAnsi="Arial" w:cs="Arial"/>
          <w:bCs/>
          <w:sz w:val="24"/>
          <w:szCs w:val="24"/>
        </w:rPr>
      </w:pPr>
    </w:p>
    <w:p w:rsidR="000156CD" w:rsidRDefault="00941040" w:rsidP="00D51C25">
      <w:pPr>
        <w:tabs>
          <w:tab w:val="left" w:pos="567"/>
          <w:tab w:val="left" w:pos="1134"/>
        </w:tabs>
        <w:spacing w:after="0"/>
        <w:jc w:val="both"/>
        <w:rPr>
          <w:rFonts w:ascii="Arial" w:hAnsi="Arial" w:cs="Arial"/>
          <w:color w:val="000000" w:themeColor="text1"/>
          <w:sz w:val="24"/>
          <w:szCs w:val="24"/>
        </w:rPr>
      </w:pPr>
      <w:r w:rsidRPr="00D51C25">
        <w:rPr>
          <w:rFonts w:ascii="Arial" w:hAnsi="Arial" w:cs="Arial"/>
          <w:sz w:val="24"/>
          <w:szCs w:val="24"/>
        </w:rPr>
        <w:t xml:space="preserve">A number of </w:t>
      </w:r>
      <w:r>
        <w:rPr>
          <w:rFonts w:ascii="Arial" w:hAnsi="Arial" w:cs="Arial"/>
          <w:sz w:val="24"/>
          <w:szCs w:val="24"/>
        </w:rPr>
        <w:t>b</w:t>
      </w:r>
      <w:r w:rsidRPr="00D51C25">
        <w:rPr>
          <w:rFonts w:ascii="Arial" w:hAnsi="Arial" w:cs="Arial"/>
          <w:sz w:val="24"/>
          <w:szCs w:val="24"/>
        </w:rPr>
        <w:t xml:space="preserve">asic need projects were operationally closed during the first quarter of the year that achieved a combined </w:t>
      </w:r>
      <w:r>
        <w:rPr>
          <w:rFonts w:ascii="Arial" w:hAnsi="Arial" w:cs="Arial"/>
          <w:sz w:val="24"/>
          <w:szCs w:val="24"/>
        </w:rPr>
        <w:t>underspend</w:t>
      </w:r>
      <w:r w:rsidRPr="00D51C25">
        <w:rPr>
          <w:rFonts w:ascii="Arial" w:hAnsi="Arial" w:cs="Arial"/>
          <w:sz w:val="24"/>
          <w:szCs w:val="24"/>
        </w:rPr>
        <w:t xml:space="preserve"> of </w:t>
      </w:r>
      <w:r w:rsidRPr="00D51C25">
        <w:rPr>
          <w:rFonts w:ascii="Arial" w:hAnsi="Arial" w:cs="Arial"/>
          <w:color w:val="000000" w:themeColor="text1"/>
          <w:sz w:val="24"/>
          <w:szCs w:val="24"/>
        </w:rPr>
        <w:t xml:space="preserve">£0.021m. </w:t>
      </w:r>
      <w:r>
        <w:rPr>
          <w:rFonts w:ascii="Arial" w:hAnsi="Arial" w:cs="Arial"/>
          <w:color w:val="000000" w:themeColor="text1"/>
          <w:sz w:val="24"/>
          <w:szCs w:val="24"/>
        </w:rPr>
        <w:t xml:space="preserve"> </w:t>
      </w:r>
      <w:r w:rsidRPr="00D51C25">
        <w:rPr>
          <w:rFonts w:ascii="Arial" w:hAnsi="Arial" w:cs="Arial"/>
          <w:color w:val="000000" w:themeColor="text1"/>
          <w:sz w:val="24"/>
          <w:szCs w:val="24"/>
        </w:rPr>
        <w:t xml:space="preserve">A number of projects are currently in the final stages and are due to financially close later in the year and are currently forecast to achieve savings of £0.816m on budget, subject to final account figures being agreed as forecast. </w:t>
      </w:r>
      <w:r>
        <w:rPr>
          <w:rFonts w:ascii="Arial" w:hAnsi="Arial" w:cs="Arial"/>
          <w:color w:val="000000" w:themeColor="text1"/>
          <w:sz w:val="24"/>
          <w:szCs w:val="24"/>
        </w:rPr>
        <w:t xml:space="preserve"> </w:t>
      </w:r>
      <w:r w:rsidRPr="00D51C25">
        <w:rPr>
          <w:rFonts w:ascii="Arial" w:hAnsi="Arial" w:cs="Arial"/>
          <w:color w:val="000000" w:themeColor="text1"/>
          <w:sz w:val="24"/>
          <w:szCs w:val="24"/>
        </w:rPr>
        <w:t>Most of this saving is</w:t>
      </w:r>
      <w:r w:rsidRPr="00D51C25">
        <w:rPr>
          <w:rFonts w:ascii="Arial" w:hAnsi="Arial" w:cs="Arial"/>
          <w:color w:val="000000" w:themeColor="text1"/>
          <w:sz w:val="24"/>
          <w:szCs w:val="24"/>
        </w:rPr>
        <w:t xml:space="preserve"> attributed to the Chorley Holy Cross expansion which was completed on site last year. </w:t>
      </w:r>
      <w:r>
        <w:rPr>
          <w:rFonts w:ascii="Arial" w:hAnsi="Arial" w:cs="Arial"/>
          <w:color w:val="000000" w:themeColor="text1"/>
          <w:sz w:val="24"/>
          <w:szCs w:val="24"/>
        </w:rPr>
        <w:t xml:space="preserve"> </w:t>
      </w:r>
      <w:r w:rsidRPr="00D51C25">
        <w:rPr>
          <w:rFonts w:ascii="Arial" w:hAnsi="Arial" w:cs="Arial"/>
          <w:color w:val="000000" w:themeColor="text1"/>
          <w:sz w:val="24"/>
          <w:szCs w:val="24"/>
        </w:rPr>
        <w:t>The project is currently forecast to underspend by £0.607m. Savings of £0.209m are forecast on a number of other basic need projects and small overspends are forecast</w:t>
      </w:r>
      <w:r>
        <w:rPr>
          <w:rFonts w:ascii="Arial" w:hAnsi="Arial" w:cs="Arial"/>
          <w:color w:val="000000" w:themeColor="text1"/>
          <w:sz w:val="24"/>
          <w:szCs w:val="24"/>
        </w:rPr>
        <w:t xml:space="preserve"> o</w:t>
      </w:r>
      <w:r>
        <w:rPr>
          <w:rFonts w:ascii="Arial" w:hAnsi="Arial" w:cs="Arial"/>
          <w:color w:val="000000" w:themeColor="text1"/>
          <w:sz w:val="24"/>
          <w:szCs w:val="24"/>
        </w:rPr>
        <w:t>n others</w:t>
      </w:r>
      <w:r w:rsidRPr="00D51C25">
        <w:rPr>
          <w:rFonts w:ascii="Arial" w:hAnsi="Arial" w:cs="Arial"/>
          <w:color w:val="000000" w:themeColor="text1"/>
          <w:sz w:val="24"/>
          <w:szCs w:val="24"/>
        </w:rPr>
        <w:t xml:space="preserve"> of £0.008m. </w:t>
      </w:r>
    </w:p>
    <w:p w:rsidR="00EE3A9B" w:rsidRPr="00D51C25" w:rsidRDefault="00941040" w:rsidP="00D51C25">
      <w:pPr>
        <w:tabs>
          <w:tab w:val="left" w:pos="567"/>
          <w:tab w:val="left" w:pos="1134"/>
        </w:tabs>
        <w:spacing w:after="0"/>
        <w:jc w:val="both"/>
        <w:rPr>
          <w:rFonts w:ascii="Arial" w:hAnsi="Arial" w:cs="Arial"/>
          <w:color w:val="000000" w:themeColor="text1"/>
          <w:sz w:val="24"/>
          <w:szCs w:val="24"/>
        </w:rPr>
      </w:pPr>
    </w:p>
    <w:p w:rsidR="000156CD" w:rsidRPr="00D51C25" w:rsidRDefault="00941040" w:rsidP="003A2D24">
      <w:pPr>
        <w:tabs>
          <w:tab w:val="left" w:pos="567"/>
          <w:tab w:val="left" w:pos="1134"/>
        </w:tabs>
        <w:spacing w:after="0"/>
        <w:jc w:val="both"/>
        <w:rPr>
          <w:rFonts w:ascii="Arial" w:hAnsi="Arial" w:cs="Arial"/>
          <w:color w:val="000000" w:themeColor="text1"/>
          <w:sz w:val="24"/>
          <w:szCs w:val="24"/>
        </w:rPr>
      </w:pPr>
      <w:r w:rsidRPr="00D51C25">
        <w:rPr>
          <w:rFonts w:ascii="Arial" w:hAnsi="Arial" w:cs="Arial"/>
          <w:color w:val="000000" w:themeColor="text1"/>
          <w:sz w:val="24"/>
          <w:szCs w:val="24"/>
        </w:rPr>
        <w:t xml:space="preserve">Slipped delivery of 2018/19 budget is forecast to be £0.513m. </w:t>
      </w:r>
      <w:r>
        <w:rPr>
          <w:rFonts w:ascii="Arial" w:hAnsi="Arial" w:cs="Arial"/>
          <w:color w:val="000000" w:themeColor="text1"/>
          <w:sz w:val="24"/>
          <w:szCs w:val="24"/>
        </w:rPr>
        <w:t xml:space="preserve">This relates to £0.143m forecast saving due on the </w:t>
      </w:r>
      <w:r w:rsidRPr="00D51C25">
        <w:rPr>
          <w:rFonts w:ascii="Arial" w:hAnsi="Arial" w:cs="Arial"/>
          <w:color w:val="000000" w:themeColor="text1"/>
          <w:sz w:val="24"/>
          <w:szCs w:val="24"/>
        </w:rPr>
        <w:t xml:space="preserve">Langho and Billington St Leonards project </w:t>
      </w:r>
      <w:r>
        <w:rPr>
          <w:rFonts w:ascii="Arial" w:hAnsi="Arial" w:cs="Arial"/>
          <w:color w:val="000000" w:themeColor="text1"/>
          <w:sz w:val="24"/>
          <w:szCs w:val="24"/>
        </w:rPr>
        <w:t xml:space="preserve">and the annual contribution to schools planning team of £0.370m which can now </w:t>
      </w:r>
      <w:r>
        <w:rPr>
          <w:rFonts w:ascii="Arial" w:hAnsi="Arial" w:cs="Arial"/>
          <w:color w:val="000000" w:themeColor="text1"/>
          <w:sz w:val="24"/>
          <w:szCs w:val="24"/>
        </w:rPr>
        <w:t xml:space="preserve">be met from savings from previous years. </w:t>
      </w:r>
    </w:p>
    <w:p w:rsidR="00FC2C4E" w:rsidRPr="00D51C25" w:rsidRDefault="00941040" w:rsidP="00D51C25">
      <w:pPr>
        <w:tabs>
          <w:tab w:val="left" w:pos="567"/>
          <w:tab w:val="left" w:pos="1134"/>
        </w:tabs>
        <w:spacing w:after="0"/>
        <w:rPr>
          <w:rFonts w:ascii="Arial" w:hAnsi="Arial" w:cs="Arial"/>
          <w:color w:val="000000" w:themeColor="text1"/>
          <w:sz w:val="24"/>
          <w:szCs w:val="24"/>
        </w:rPr>
      </w:pPr>
    </w:p>
    <w:p w:rsidR="00AC14FA" w:rsidRPr="003A2D24" w:rsidRDefault="00941040" w:rsidP="003A2D24">
      <w:pPr>
        <w:tabs>
          <w:tab w:val="left" w:pos="567"/>
          <w:tab w:val="left" w:pos="1134"/>
        </w:tabs>
        <w:spacing w:after="0"/>
        <w:rPr>
          <w:rFonts w:ascii="Arial" w:hAnsi="Arial" w:cs="Arial"/>
          <w:b/>
          <w:color w:val="000000" w:themeColor="text1"/>
          <w:sz w:val="24"/>
          <w:szCs w:val="24"/>
        </w:rPr>
      </w:pPr>
      <w:r w:rsidRPr="00D51C25">
        <w:rPr>
          <w:rFonts w:ascii="Arial" w:hAnsi="Arial" w:cs="Arial"/>
          <w:b/>
          <w:color w:val="000000" w:themeColor="text1"/>
          <w:sz w:val="24"/>
          <w:szCs w:val="24"/>
        </w:rPr>
        <w:t>Condition Programme</w:t>
      </w:r>
    </w:p>
    <w:p w:rsidR="007A49AB" w:rsidRPr="007A49AB" w:rsidRDefault="00941040" w:rsidP="007A49AB">
      <w:pPr>
        <w:tabs>
          <w:tab w:val="left" w:pos="567"/>
          <w:tab w:val="left" w:pos="1134"/>
        </w:tabs>
        <w:spacing w:after="0"/>
        <w:rPr>
          <w:rFonts w:ascii="Arial" w:hAnsi="Arial" w:cs="Arial"/>
          <w:sz w:val="24"/>
          <w:szCs w:val="24"/>
        </w:rPr>
      </w:pPr>
    </w:p>
    <w:p w:rsidR="000156CD" w:rsidRPr="00D51C25" w:rsidRDefault="00941040" w:rsidP="00D51C25">
      <w:pPr>
        <w:tabs>
          <w:tab w:val="left" w:pos="567"/>
          <w:tab w:val="left" w:pos="1134"/>
        </w:tabs>
        <w:spacing w:after="0"/>
        <w:jc w:val="both"/>
        <w:rPr>
          <w:rFonts w:ascii="Arial" w:hAnsi="Arial" w:cs="Arial"/>
          <w:color w:val="000000" w:themeColor="text1"/>
          <w:sz w:val="24"/>
          <w:szCs w:val="24"/>
        </w:rPr>
      </w:pPr>
      <w:r w:rsidRPr="00D51C25">
        <w:rPr>
          <w:rFonts w:ascii="Arial" w:hAnsi="Arial" w:cs="Arial"/>
          <w:color w:val="000000" w:themeColor="text1"/>
          <w:sz w:val="24"/>
          <w:szCs w:val="24"/>
        </w:rPr>
        <w:t xml:space="preserve">The </w:t>
      </w:r>
      <w:r>
        <w:rPr>
          <w:rFonts w:ascii="Arial" w:hAnsi="Arial" w:cs="Arial"/>
          <w:color w:val="000000" w:themeColor="text1"/>
          <w:sz w:val="24"/>
          <w:szCs w:val="24"/>
        </w:rPr>
        <w:t>c</w:t>
      </w:r>
      <w:r w:rsidRPr="00D51C25">
        <w:rPr>
          <w:rFonts w:ascii="Arial" w:hAnsi="Arial" w:cs="Arial"/>
          <w:color w:val="000000" w:themeColor="text1"/>
          <w:sz w:val="24"/>
          <w:szCs w:val="24"/>
        </w:rPr>
        <w:t xml:space="preserve">ondition programme delivers works to improve the condition of existing schools, with the majority of the works being undertaken during the school holidays to minimise disruption to the education provision. </w:t>
      </w:r>
    </w:p>
    <w:p w:rsidR="000156CD" w:rsidRPr="00D51C25" w:rsidRDefault="00941040" w:rsidP="00D51C25">
      <w:pPr>
        <w:tabs>
          <w:tab w:val="left" w:pos="567"/>
          <w:tab w:val="left" w:pos="1134"/>
        </w:tabs>
        <w:spacing w:after="0"/>
        <w:rPr>
          <w:rFonts w:ascii="Arial" w:hAnsi="Arial" w:cs="Arial"/>
          <w:color w:val="000000" w:themeColor="text1"/>
          <w:sz w:val="24"/>
          <w:szCs w:val="24"/>
        </w:rPr>
      </w:pPr>
    </w:p>
    <w:p w:rsidR="000156CD" w:rsidRDefault="00941040" w:rsidP="00D51C25">
      <w:pPr>
        <w:tabs>
          <w:tab w:val="left" w:pos="567"/>
          <w:tab w:val="left" w:pos="1134"/>
        </w:tabs>
        <w:spacing w:after="0"/>
        <w:jc w:val="both"/>
        <w:rPr>
          <w:rFonts w:ascii="Arial" w:hAnsi="Arial" w:cs="Arial"/>
          <w:color w:val="000000" w:themeColor="text1"/>
          <w:sz w:val="24"/>
          <w:szCs w:val="24"/>
        </w:rPr>
      </w:pPr>
      <w:r>
        <w:rPr>
          <w:rFonts w:ascii="Arial" w:hAnsi="Arial" w:cs="Arial"/>
          <w:color w:val="000000" w:themeColor="text1"/>
          <w:sz w:val="24"/>
          <w:szCs w:val="24"/>
        </w:rPr>
        <w:t xml:space="preserve">An </w:t>
      </w:r>
      <w:r w:rsidRPr="00D51C25">
        <w:rPr>
          <w:rFonts w:ascii="Arial" w:hAnsi="Arial" w:cs="Arial"/>
          <w:color w:val="000000" w:themeColor="text1"/>
          <w:sz w:val="24"/>
          <w:szCs w:val="24"/>
        </w:rPr>
        <w:t>underspend of £0.</w:t>
      </w:r>
      <w:r>
        <w:rPr>
          <w:rFonts w:ascii="Arial" w:hAnsi="Arial" w:cs="Arial"/>
          <w:color w:val="000000" w:themeColor="text1"/>
          <w:sz w:val="24"/>
          <w:szCs w:val="24"/>
        </w:rPr>
        <w:t>081m is forecast across a nu</w:t>
      </w:r>
      <w:r>
        <w:rPr>
          <w:rFonts w:ascii="Arial" w:hAnsi="Arial" w:cs="Arial"/>
          <w:color w:val="000000" w:themeColor="text1"/>
          <w:sz w:val="24"/>
          <w:szCs w:val="24"/>
        </w:rPr>
        <w:t xml:space="preserve">mber of projects </w:t>
      </w:r>
      <w:r w:rsidRPr="00D51C25">
        <w:rPr>
          <w:rFonts w:ascii="Arial" w:hAnsi="Arial" w:cs="Arial"/>
          <w:color w:val="000000" w:themeColor="text1"/>
          <w:sz w:val="24"/>
          <w:szCs w:val="24"/>
        </w:rPr>
        <w:t xml:space="preserve">that have operationally closed/closing and are pending financial closure in-year. </w:t>
      </w:r>
    </w:p>
    <w:p w:rsidR="007A49AB" w:rsidRPr="00D51C25" w:rsidRDefault="00941040" w:rsidP="00D51C25">
      <w:pPr>
        <w:tabs>
          <w:tab w:val="left" w:pos="567"/>
          <w:tab w:val="left" w:pos="1134"/>
        </w:tabs>
        <w:spacing w:after="0"/>
        <w:jc w:val="both"/>
        <w:rPr>
          <w:rFonts w:ascii="Arial" w:hAnsi="Arial" w:cs="Arial"/>
          <w:color w:val="000000" w:themeColor="text1"/>
          <w:sz w:val="24"/>
          <w:szCs w:val="24"/>
        </w:rPr>
      </w:pPr>
    </w:p>
    <w:p w:rsidR="000156CD" w:rsidRPr="00D51C25" w:rsidRDefault="00941040" w:rsidP="00D51C25">
      <w:pPr>
        <w:tabs>
          <w:tab w:val="left" w:pos="567"/>
          <w:tab w:val="left" w:pos="1134"/>
        </w:tabs>
        <w:spacing w:after="0"/>
        <w:rPr>
          <w:rFonts w:ascii="Arial" w:hAnsi="Arial" w:cs="Arial"/>
          <w:color w:val="000000" w:themeColor="text1"/>
          <w:sz w:val="24"/>
          <w:szCs w:val="24"/>
        </w:rPr>
      </w:pPr>
      <w:r w:rsidRPr="00D51C25">
        <w:rPr>
          <w:rFonts w:ascii="Arial" w:hAnsi="Arial" w:cs="Arial"/>
          <w:color w:val="000000" w:themeColor="text1"/>
          <w:sz w:val="24"/>
          <w:szCs w:val="24"/>
        </w:rPr>
        <w:t>The new programme of works starting 2018/19 is current</w:t>
      </w:r>
      <w:r>
        <w:rPr>
          <w:rFonts w:ascii="Arial" w:hAnsi="Arial" w:cs="Arial"/>
          <w:color w:val="000000" w:themeColor="text1"/>
          <w:sz w:val="24"/>
          <w:szCs w:val="24"/>
        </w:rPr>
        <w:t>ly</w:t>
      </w:r>
      <w:r w:rsidRPr="00D51C25">
        <w:rPr>
          <w:rFonts w:ascii="Arial" w:hAnsi="Arial" w:cs="Arial"/>
          <w:color w:val="000000" w:themeColor="text1"/>
          <w:sz w:val="24"/>
          <w:szCs w:val="24"/>
        </w:rPr>
        <w:t xml:space="preserve"> forecast for delivery at budget. </w:t>
      </w:r>
    </w:p>
    <w:p w:rsidR="000156CD" w:rsidRPr="00D51C25" w:rsidRDefault="00941040" w:rsidP="00D51C25">
      <w:pPr>
        <w:tabs>
          <w:tab w:val="left" w:pos="567"/>
          <w:tab w:val="left" w:pos="1134"/>
        </w:tabs>
        <w:spacing w:after="0"/>
        <w:rPr>
          <w:rFonts w:ascii="Arial" w:hAnsi="Arial" w:cs="Arial"/>
          <w:sz w:val="24"/>
          <w:szCs w:val="24"/>
        </w:rPr>
      </w:pPr>
    </w:p>
    <w:p w:rsidR="000156CD" w:rsidRDefault="00941040" w:rsidP="00D51C25">
      <w:pPr>
        <w:tabs>
          <w:tab w:val="left" w:pos="567"/>
          <w:tab w:val="left" w:pos="1134"/>
        </w:tabs>
        <w:spacing w:after="0"/>
        <w:rPr>
          <w:rFonts w:ascii="Arial" w:hAnsi="Arial" w:cs="Arial"/>
          <w:sz w:val="24"/>
          <w:szCs w:val="24"/>
        </w:rPr>
      </w:pPr>
      <w:r w:rsidRPr="00D51C25">
        <w:rPr>
          <w:rFonts w:ascii="Arial" w:hAnsi="Arial" w:cs="Arial"/>
          <w:sz w:val="24"/>
          <w:szCs w:val="24"/>
        </w:rPr>
        <w:t>Budget Re-profiling</w:t>
      </w:r>
    </w:p>
    <w:p w:rsidR="007A49AB" w:rsidRPr="00D51C25" w:rsidRDefault="00941040" w:rsidP="00D51C25">
      <w:pPr>
        <w:tabs>
          <w:tab w:val="left" w:pos="567"/>
          <w:tab w:val="left" w:pos="1134"/>
        </w:tabs>
        <w:spacing w:after="0"/>
        <w:rPr>
          <w:rFonts w:ascii="Arial" w:hAnsi="Arial" w:cs="Arial"/>
          <w:sz w:val="24"/>
          <w:szCs w:val="24"/>
        </w:rPr>
      </w:pPr>
    </w:p>
    <w:p w:rsidR="000156CD" w:rsidRDefault="00941040" w:rsidP="00D51C25">
      <w:pPr>
        <w:tabs>
          <w:tab w:val="left" w:pos="567"/>
          <w:tab w:val="left" w:pos="1134"/>
        </w:tabs>
        <w:spacing w:after="0"/>
        <w:rPr>
          <w:rFonts w:ascii="Arial" w:hAnsi="Arial" w:cs="Arial"/>
          <w:sz w:val="24"/>
          <w:szCs w:val="24"/>
        </w:rPr>
      </w:pPr>
      <w:r w:rsidRPr="00D51C25">
        <w:rPr>
          <w:rFonts w:ascii="Arial" w:hAnsi="Arial" w:cs="Arial"/>
          <w:sz w:val="24"/>
          <w:szCs w:val="24"/>
        </w:rPr>
        <w:t xml:space="preserve">A re-profiling exercise was undertaken during Quarter 1 to address changes that have arisen in the estimated delivery timeframe of a number of projects since their original commission. </w:t>
      </w:r>
      <w:r>
        <w:rPr>
          <w:rFonts w:ascii="Arial" w:hAnsi="Arial" w:cs="Arial"/>
          <w:sz w:val="24"/>
          <w:szCs w:val="24"/>
        </w:rPr>
        <w:t xml:space="preserve"> </w:t>
      </w:r>
      <w:r w:rsidRPr="00D51C25">
        <w:rPr>
          <w:rFonts w:ascii="Arial" w:hAnsi="Arial" w:cs="Arial"/>
          <w:sz w:val="24"/>
          <w:szCs w:val="24"/>
        </w:rPr>
        <w:t>This includes:</w:t>
      </w:r>
    </w:p>
    <w:p w:rsidR="007A49AB" w:rsidRPr="00D51C25" w:rsidRDefault="00941040" w:rsidP="00D51C25">
      <w:pPr>
        <w:tabs>
          <w:tab w:val="left" w:pos="567"/>
          <w:tab w:val="left" w:pos="1134"/>
        </w:tabs>
        <w:spacing w:after="0"/>
        <w:rPr>
          <w:rFonts w:ascii="Arial" w:hAnsi="Arial" w:cs="Arial"/>
          <w:sz w:val="24"/>
          <w:szCs w:val="24"/>
        </w:rPr>
      </w:pPr>
    </w:p>
    <w:p w:rsidR="000156CD" w:rsidRPr="00D51C25" w:rsidRDefault="00941040" w:rsidP="007A49AB">
      <w:pPr>
        <w:numPr>
          <w:ilvl w:val="0"/>
          <w:numId w:val="4"/>
        </w:numPr>
        <w:tabs>
          <w:tab w:val="left" w:pos="567"/>
          <w:tab w:val="left" w:pos="1134"/>
        </w:tabs>
        <w:autoSpaceDE w:val="0"/>
        <w:autoSpaceDN w:val="0"/>
        <w:adjustRightInd w:val="0"/>
        <w:spacing w:after="0" w:line="240" w:lineRule="auto"/>
        <w:ind w:left="567" w:hanging="567"/>
        <w:contextualSpacing/>
        <w:jc w:val="both"/>
        <w:rPr>
          <w:rFonts w:ascii="Arial" w:hAnsi="Arial" w:cs="Arial"/>
          <w:sz w:val="24"/>
          <w:szCs w:val="24"/>
        </w:rPr>
      </w:pPr>
      <w:r w:rsidRPr="00D51C25">
        <w:rPr>
          <w:rFonts w:ascii="Arial" w:hAnsi="Arial" w:cs="Arial"/>
          <w:sz w:val="24"/>
          <w:szCs w:val="24"/>
        </w:rPr>
        <w:t>Re-profiling the School Playing Fields programme to fu</w:t>
      </w:r>
      <w:r w:rsidRPr="00D51C25">
        <w:rPr>
          <w:rFonts w:ascii="Arial" w:hAnsi="Arial" w:cs="Arial"/>
          <w:sz w:val="24"/>
          <w:szCs w:val="24"/>
        </w:rPr>
        <w:t xml:space="preserve">ture years. </w:t>
      </w:r>
    </w:p>
    <w:p w:rsidR="000156CD" w:rsidRPr="00D51C25" w:rsidRDefault="00941040" w:rsidP="007A49AB">
      <w:pPr>
        <w:numPr>
          <w:ilvl w:val="0"/>
          <w:numId w:val="4"/>
        </w:numPr>
        <w:tabs>
          <w:tab w:val="left" w:pos="567"/>
          <w:tab w:val="left" w:pos="1134"/>
        </w:tabs>
        <w:autoSpaceDE w:val="0"/>
        <w:autoSpaceDN w:val="0"/>
        <w:adjustRightInd w:val="0"/>
        <w:spacing w:after="0" w:line="240" w:lineRule="auto"/>
        <w:ind w:left="567" w:hanging="567"/>
        <w:contextualSpacing/>
        <w:jc w:val="both"/>
        <w:rPr>
          <w:rFonts w:ascii="Arial" w:hAnsi="Arial" w:cs="Arial"/>
          <w:sz w:val="24"/>
          <w:szCs w:val="24"/>
        </w:rPr>
      </w:pPr>
      <w:r w:rsidRPr="00D51C25">
        <w:rPr>
          <w:rFonts w:ascii="Arial" w:hAnsi="Arial" w:cs="Arial"/>
          <w:sz w:val="24"/>
          <w:szCs w:val="24"/>
        </w:rPr>
        <w:t xml:space="preserve">Re-profiling the current year DFC budget to future years, as in year spend will be on previous year slipped budgets. </w:t>
      </w:r>
    </w:p>
    <w:p w:rsidR="000156CD" w:rsidRPr="00D51C25" w:rsidRDefault="00941040" w:rsidP="007A49AB">
      <w:pPr>
        <w:numPr>
          <w:ilvl w:val="0"/>
          <w:numId w:val="4"/>
        </w:numPr>
        <w:tabs>
          <w:tab w:val="left" w:pos="567"/>
          <w:tab w:val="left" w:pos="1134"/>
        </w:tabs>
        <w:autoSpaceDE w:val="0"/>
        <w:autoSpaceDN w:val="0"/>
        <w:adjustRightInd w:val="0"/>
        <w:spacing w:after="0" w:line="240" w:lineRule="auto"/>
        <w:ind w:left="567" w:hanging="567"/>
        <w:contextualSpacing/>
        <w:jc w:val="both"/>
        <w:rPr>
          <w:rFonts w:ascii="Arial" w:hAnsi="Arial" w:cs="Arial"/>
          <w:sz w:val="24"/>
          <w:szCs w:val="24"/>
        </w:rPr>
      </w:pPr>
      <w:r w:rsidRPr="00D51C25">
        <w:rPr>
          <w:rFonts w:ascii="Arial" w:hAnsi="Arial" w:cs="Arial"/>
          <w:sz w:val="24"/>
          <w:szCs w:val="24"/>
        </w:rPr>
        <w:t>Re-profiling part of the current year budget of 4 Basic need projects for delivery expected to now be in 2019/20. The project</w:t>
      </w:r>
      <w:r w:rsidRPr="00D51C25">
        <w:rPr>
          <w:rFonts w:ascii="Arial" w:hAnsi="Arial" w:cs="Arial"/>
          <w:sz w:val="24"/>
          <w:szCs w:val="24"/>
        </w:rPr>
        <w:t xml:space="preserve">s are Euxton Balshaw Lane, Langho St Mary's Primary, Barrow Primary and Ribblesdale High. As previously reported, the delivery of these projects have been </w:t>
      </w:r>
      <w:r>
        <w:rPr>
          <w:rFonts w:ascii="Arial" w:hAnsi="Arial" w:cs="Arial"/>
          <w:sz w:val="24"/>
          <w:szCs w:val="24"/>
        </w:rPr>
        <w:t>af</w:t>
      </w:r>
      <w:r w:rsidRPr="00D51C25">
        <w:rPr>
          <w:rFonts w:ascii="Arial" w:hAnsi="Arial" w:cs="Arial"/>
          <w:sz w:val="24"/>
          <w:szCs w:val="24"/>
        </w:rPr>
        <w:t>fected by delays, including construction delays due to poor weather, or by various problems encount</w:t>
      </w:r>
      <w:r w:rsidRPr="00D51C25">
        <w:rPr>
          <w:rFonts w:ascii="Arial" w:hAnsi="Arial" w:cs="Arial"/>
          <w:sz w:val="24"/>
          <w:szCs w:val="24"/>
        </w:rPr>
        <w:t>ered on site that have  necessitat</w:t>
      </w:r>
      <w:r>
        <w:rPr>
          <w:rFonts w:ascii="Arial" w:hAnsi="Arial" w:cs="Arial"/>
          <w:sz w:val="24"/>
          <w:szCs w:val="24"/>
        </w:rPr>
        <w:t>ed</w:t>
      </w:r>
      <w:r w:rsidRPr="00D51C25">
        <w:rPr>
          <w:rFonts w:ascii="Arial" w:hAnsi="Arial" w:cs="Arial"/>
          <w:sz w:val="24"/>
          <w:szCs w:val="24"/>
        </w:rPr>
        <w:t xml:space="preserve"> additional design work or value engineering exercises. </w:t>
      </w:r>
    </w:p>
    <w:p w:rsidR="000156CD" w:rsidRDefault="00941040" w:rsidP="007A49AB">
      <w:pPr>
        <w:numPr>
          <w:ilvl w:val="0"/>
          <w:numId w:val="4"/>
        </w:numPr>
        <w:tabs>
          <w:tab w:val="left" w:pos="567"/>
          <w:tab w:val="left" w:pos="1134"/>
        </w:tabs>
        <w:autoSpaceDE w:val="0"/>
        <w:autoSpaceDN w:val="0"/>
        <w:adjustRightInd w:val="0"/>
        <w:spacing w:after="0" w:line="240" w:lineRule="auto"/>
        <w:ind w:left="567" w:hanging="567"/>
        <w:contextualSpacing/>
        <w:jc w:val="both"/>
        <w:rPr>
          <w:rFonts w:ascii="Arial" w:hAnsi="Arial" w:cs="Arial"/>
          <w:sz w:val="24"/>
          <w:szCs w:val="24"/>
        </w:rPr>
      </w:pPr>
      <w:r w:rsidRPr="00D51C25">
        <w:rPr>
          <w:rFonts w:ascii="Arial" w:hAnsi="Arial" w:cs="Arial"/>
          <w:sz w:val="24"/>
          <w:szCs w:val="24"/>
        </w:rPr>
        <w:t xml:space="preserve">The remaining value of the as yet unallocated </w:t>
      </w:r>
      <w:r>
        <w:rPr>
          <w:rFonts w:ascii="Arial" w:hAnsi="Arial" w:cs="Arial"/>
          <w:sz w:val="24"/>
          <w:szCs w:val="24"/>
        </w:rPr>
        <w:t>b</w:t>
      </w:r>
      <w:r w:rsidRPr="00D51C25">
        <w:rPr>
          <w:rFonts w:ascii="Arial" w:hAnsi="Arial" w:cs="Arial"/>
          <w:sz w:val="24"/>
          <w:szCs w:val="24"/>
        </w:rPr>
        <w:t xml:space="preserve">asic </w:t>
      </w:r>
      <w:r>
        <w:rPr>
          <w:rFonts w:ascii="Arial" w:hAnsi="Arial" w:cs="Arial"/>
          <w:sz w:val="24"/>
          <w:szCs w:val="24"/>
        </w:rPr>
        <w:t>n</w:t>
      </w:r>
      <w:r w:rsidRPr="00D51C25">
        <w:rPr>
          <w:rFonts w:ascii="Arial" w:hAnsi="Arial" w:cs="Arial"/>
          <w:sz w:val="24"/>
          <w:szCs w:val="24"/>
        </w:rPr>
        <w:t>eed allocation from 2017/18 has been re-profiled to future years to meet the estimated timeframe of when the n</w:t>
      </w:r>
      <w:r w:rsidRPr="00D51C25">
        <w:rPr>
          <w:rFonts w:ascii="Arial" w:hAnsi="Arial" w:cs="Arial"/>
          <w:sz w:val="24"/>
          <w:szCs w:val="24"/>
        </w:rPr>
        <w:t xml:space="preserve">ext programme of work to be commission will begin to incur delivery costs. </w:t>
      </w:r>
    </w:p>
    <w:p w:rsidR="007A49AB" w:rsidRPr="00D51C25" w:rsidRDefault="00941040" w:rsidP="007A49AB">
      <w:pPr>
        <w:tabs>
          <w:tab w:val="left" w:pos="567"/>
          <w:tab w:val="left" w:pos="1134"/>
        </w:tabs>
        <w:autoSpaceDE w:val="0"/>
        <w:autoSpaceDN w:val="0"/>
        <w:adjustRightInd w:val="0"/>
        <w:spacing w:after="0" w:line="240" w:lineRule="auto"/>
        <w:contextualSpacing/>
        <w:jc w:val="both"/>
        <w:rPr>
          <w:rFonts w:ascii="Arial" w:hAnsi="Arial" w:cs="Arial"/>
          <w:sz w:val="24"/>
          <w:szCs w:val="24"/>
        </w:rPr>
      </w:pPr>
    </w:p>
    <w:p w:rsidR="000156CD" w:rsidRDefault="00941040" w:rsidP="007A49AB">
      <w:pPr>
        <w:tabs>
          <w:tab w:val="left" w:pos="567"/>
          <w:tab w:val="left" w:pos="1134"/>
        </w:tabs>
        <w:spacing w:after="0"/>
        <w:jc w:val="both"/>
        <w:rPr>
          <w:rFonts w:ascii="Arial" w:hAnsi="Arial" w:cs="Arial"/>
          <w:sz w:val="24"/>
          <w:szCs w:val="24"/>
        </w:rPr>
      </w:pPr>
      <w:r w:rsidRPr="00D51C25">
        <w:rPr>
          <w:rFonts w:ascii="Arial" w:hAnsi="Arial" w:cs="Arial"/>
          <w:sz w:val="24"/>
          <w:szCs w:val="24"/>
        </w:rPr>
        <w:t xml:space="preserve">The current year budgeted programmes of work include the delivery of Basic Need projects in the Ribble Valley that were commissioned in 2017/18. </w:t>
      </w:r>
      <w:r>
        <w:rPr>
          <w:rFonts w:ascii="Arial" w:hAnsi="Arial" w:cs="Arial"/>
          <w:sz w:val="24"/>
          <w:szCs w:val="24"/>
        </w:rPr>
        <w:t xml:space="preserve"> </w:t>
      </w:r>
      <w:r w:rsidRPr="00D51C25">
        <w:rPr>
          <w:rFonts w:ascii="Arial" w:hAnsi="Arial" w:cs="Arial"/>
          <w:sz w:val="24"/>
          <w:szCs w:val="24"/>
        </w:rPr>
        <w:t xml:space="preserve">Most of these are projects are due to commence on site this year. </w:t>
      </w:r>
    </w:p>
    <w:p w:rsidR="007A49AB" w:rsidRPr="00D51C25" w:rsidRDefault="00941040" w:rsidP="007A49AB">
      <w:pPr>
        <w:tabs>
          <w:tab w:val="left" w:pos="567"/>
          <w:tab w:val="left" w:pos="1134"/>
        </w:tabs>
        <w:spacing w:after="0"/>
        <w:jc w:val="both"/>
        <w:rPr>
          <w:rFonts w:ascii="Arial" w:hAnsi="Arial" w:cs="Arial"/>
          <w:sz w:val="24"/>
          <w:szCs w:val="24"/>
        </w:rPr>
      </w:pPr>
    </w:p>
    <w:p w:rsidR="000156CD" w:rsidRPr="00D51C25" w:rsidRDefault="00941040" w:rsidP="007A49AB">
      <w:pPr>
        <w:tabs>
          <w:tab w:val="left" w:pos="567"/>
          <w:tab w:val="left" w:pos="1134"/>
        </w:tabs>
        <w:spacing w:after="0"/>
        <w:jc w:val="both"/>
        <w:rPr>
          <w:rFonts w:ascii="Arial" w:hAnsi="Arial" w:cs="Arial"/>
          <w:sz w:val="24"/>
          <w:szCs w:val="24"/>
        </w:rPr>
      </w:pPr>
      <w:r w:rsidRPr="00D51C25">
        <w:rPr>
          <w:rFonts w:ascii="Arial" w:hAnsi="Arial" w:cs="Arial"/>
          <w:sz w:val="24"/>
          <w:szCs w:val="24"/>
        </w:rPr>
        <w:t>Additionally, the second phase of the 2017/18 starts Condition programme is programmed to be delivered and expected to be completed over the summer. Furthermore, the new 2018/19 starts con</w:t>
      </w:r>
      <w:r w:rsidRPr="00D51C25">
        <w:rPr>
          <w:rFonts w:ascii="Arial" w:hAnsi="Arial" w:cs="Arial"/>
          <w:sz w:val="24"/>
          <w:szCs w:val="24"/>
        </w:rPr>
        <w:t>dition programme will also commence and features many boiler/heating replacement and rewiring projects.</w:t>
      </w:r>
    </w:p>
    <w:p w:rsidR="00C76E93" w:rsidRPr="00D51C25" w:rsidRDefault="00941040" w:rsidP="00D51C25">
      <w:pPr>
        <w:tabs>
          <w:tab w:val="left" w:pos="567"/>
          <w:tab w:val="left" w:pos="1134"/>
        </w:tabs>
        <w:spacing w:after="0"/>
        <w:jc w:val="both"/>
        <w:rPr>
          <w:rFonts w:ascii="Arial" w:hAnsi="Arial" w:cs="Arial"/>
          <w:sz w:val="24"/>
          <w:szCs w:val="24"/>
        </w:rPr>
      </w:pPr>
    </w:p>
    <w:p w:rsidR="000156CD" w:rsidRDefault="00941040" w:rsidP="00D51C25">
      <w:pPr>
        <w:tabs>
          <w:tab w:val="left" w:pos="567"/>
          <w:tab w:val="left" w:pos="1134"/>
        </w:tabs>
        <w:spacing w:after="0"/>
        <w:rPr>
          <w:rFonts w:ascii="Arial" w:hAnsi="Arial" w:cs="Arial"/>
          <w:b/>
          <w:sz w:val="24"/>
          <w:szCs w:val="24"/>
        </w:rPr>
      </w:pPr>
      <w:r w:rsidRPr="00D51C25">
        <w:rPr>
          <w:rFonts w:ascii="Arial" w:hAnsi="Arial" w:cs="Arial"/>
          <w:b/>
          <w:sz w:val="24"/>
          <w:szCs w:val="24"/>
        </w:rPr>
        <w:t>Highways</w:t>
      </w:r>
    </w:p>
    <w:p w:rsidR="007A49AB" w:rsidRPr="00D51C25" w:rsidRDefault="00941040" w:rsidP="00D51C25">
      <w:pPr>
        <w:tabs>
          <w:tab w:val="left" w:pos="567"/>
          <w:tab w:val="left" w:pos="1134"/>
        </w:tabs>
        <w:spacing w:after="0"/>
        <w:rPr>
          <w:rFonts w:ascii="Arial" w:hAnsi="Arial" w:cs="Arial"/>
          <w:b/>
          <w:sz w:val="24"/>
          <w:szCs w:val="24"/>
        </w:rPr>
      </w:pPr>
    </w:p>
    <w:p w:rsidR="000156CD" w:rsidRDefault="00941040" w:rsidP="00D51C25">
      <w:pPr>
        <w:tabs>
          <w:tab w:val="left" w:pos="567"/>
          <w:tab w:val="left" w:pos="1134"/>
        </w:tabs>
        <w:spacing w:after="0"/>
        <w:jc w:val="both"/>
        <w:rPr>
          <w:rFonts w:ascii="Arial" w:hAnsi="Arial" w:cs="Arial"/>
          <w:b/>
          <w:sz w:val="24"/>
          <w:szCs w:val="24"/>
        </w:rPr>
      </w:pPr>
      <w:r w:rsidRPr="00D51C25">
        <w:rPr>
          <w:rFonts w:ascii="Arial" w:hAnsi="Arial" w:cs="Arial"/>
          <w:b/>
          <w:sz w:val="24"/>
          <w:szCs w:val="24"/>
        </w:rPr>
        <w:t>The Highways block capital programme budget for 2018/19 is £</w:t>
      </w:r>
      <w:r>
        <w:rPr>
          <w:rFonts w:ascii="Arial" w:hAnsi="Arial" w:cs="Arial"/>
          <w:b/>
          <w:sz w:val="24"/>
          <w:szCs w:val="24"/>
        </w:rPr>
        <w:t>45.484</w:t>
      </w:r>
      <w:r w:rsidRPr="00D51C25">
        <w:rPr>
          <w:rFonts w:ascii="Arial" w:hAnsi="Arial" w:cs="Arial"/>
          <w:b/>
          <w:sz w:val="24"/>
          <w:szCs w:val="24"/>
        </w:rPr>
        <w:t>m. Outturn spend against this budget is forecast at £</w:t>
      </w:r>
      <w:r>
        <w:rPr>
          <w:rFonts w:ascii="Arial" w:hAnsi="Arial" w:cs="Arial"/>
          <w:b/>
          <w:sz w:val="24"/>
          <w:szCs w:val="24"/>
        </w:rPr>
        <w:t>45.984</w:t>
      </w:r>
      <w:r w:rsidRPr="00D51C25">
        <w:rPr>
          <w:rFonts w:ascii="Arial" w:hAnsi="Arial" w:cs="Arial"/>
          <w:b/>
          <w:sz w:val="24"/>
          <w:szCs w:val="24"/>
        </w:rPr>
        <w:t>m, a variance of</w:t>
      </w:r>
      <w:r w:rsidRPr="00D51C25">
        <w:rPr>
          <w:rFonts w:ascii="Arial" w:hAnsi="Arial" w:cs="Arial"/>
          <w:b/>
          <w:sz w:val="24"/>
          <w:szCs w:val="24"/>
        </w:rPr>
        <w:t xml:space="preserve"> £0.500m.</w:t>
      </w:r>
      <w:r>
        <w:rPr>
          <w:rFonts w:ascii="Arial" w:hAnsi="Arial" w:cs="Arial"/>
          <w:b/>
          <w:sz w:val="24"/>
          <w:szCs w:val="24"/>
        </w:rPr>
        <w:t xml:space="preserve"> </w:t>
      </w:r>
      <w:r w:rsidRPr="00D51C25">
        <w:rPr>
          <w:rFonts w:ascii="Arial" w:hAnsi="Arial" w:cs="Arial"/>
          <w:b/>
          <w:sz w:val="24"/>
          <w:szCs w:val="24"/>
        </w:rPr>
        <w:t xml:space="preserve">This variance </w:t>
      </w:r>
      <w:r>
        <w:rPr>
          <w:rFonts w:ascii="Arial" w:hAnsi="Arial" w:cs="Arial"/>
          <w:b/>
          <w:sz w:val="24"/>
          <w:szCs w:val="24"/>
        </w:rPr>
        <w:t xml:space="preserve">is forecast in the demand led structural defects programme as a response to the deterioration of some of the county's roads over the winter months. </w:t>
      </w:r>
    </w:p>
    <w:p w:rsidR="007A49AB" w:rsidRPr="00D51C25" w:rsidRDefault="00941040" w:rsidP="00D51C25">
      <w:pPr>
        <w:tabs>
          <w:tab w:val="left" w:pos="567"/>
          <w:tab w:val="left" w:pos="1134"/>
        </w:tabs>
        <w:spacing w:after="0"/>
        <w:jc w:val="both"/>
        <w:rPr>
          <w:rFonts w:ascii="Arial" w:hAnsi="Arial" w:cs="Arial"/>
          <w:b/>
          <w:sz w:val="24"/>
          <w:szCs w:val="24"/>
          <w:u w:val="single"/>
        </w:rPr>
      </w:pPr>
    </w:p>
    <w:p w:rsidR="000156CD" w:rsidRDefault="00941040" w:rsidP="00D51C25">
      <w:pPr>
        <w:tabs>
          <w:tab w:val="left" w:pos="567"/>
          <w:tab w:val="left" w:pos="1134"/>
        </w:tabs>
        <w:spacing w:after="0"/>
        <w:jc w:val="both"/>
        <w:rPr>
          <w:rFonts w:ascii="Arial" w:hAnsi="Arial" w:cs="Arial"/>
          <w:sz w:val="24"/>
          <w:szCs w:val="24"/>
        </w:rPr>
      </w:pPr>
      <w:r>
        <w:rPr>
          <w:rFonts w:ascii="Arial" w:hAnsi="Arial" w:cs="Arial"/>
          <w:sz w:val="24"/>
          <w:szCs w:val="24"/>
        </w:rPr>
        <w:t xml:space="preserve">All other programmes in the block are forecasting to deliver on budget following </w:t>
      </w:r>
      <w:r>
        <w:rPr>
          <w:rFonts w:ascii="Arial" w:hAnsi="Arial" w:cs="Arial"/>
          <w:sz w:val="24"/>
          <w:szCs w:val="24"/>
        </w:rPr>
        <w:t>the re-profiling exercise.  Details of the main items of which are below:-</w:t>
      </w:r>
    </w:p>
    <w:p w:rsidR="007A49AB" w:rsidRPr="00D51C25" w:rsidRDefault="00941040" w:rsidP="00D51C25">
      <w:pPr>
        <w:tabs>
          <w:tab w:val="left" w:pos="567"/>
          <w:tab w:val="left" w:pos="1134"/>
        </w:tabs>
        <w:spacing w:after="0"/>
        <w:jc w:val="both"/>
        <w:rPr>
          <w:rFonts w:ascii="Arial" w:hAnsi="Arial" w:cs="Arial"/>
          <w:sz w:val="24"/>
          <w:szCs w:val="24"/>
        </w:rPr>
      </w:pPr>
    </w:p>
    <w:p w:rsidR="000156CD"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2018/19 Footways - Cross Street will not be delivered in 2018/19. £1.400m of the 2017/18 programme slipped and therefore as a precautionary measure the programme manager has agreed</w:t>
      </w:r>
      <w:r w:rsidRPr="00D51C25">
        <w:rPr>
          <w:rFonts w:ascii="Arial" w:hAnsi="Arial" w:cs="Arial"/>
          <w:sz w:val="24"/>
          <w:szCs w:val="24"/>
        </w:rPr>
        <w:t xml:space="preserve"> a total of £0.250m be moved to 2019/20.</w:t>
      </w:r>
    </w:p>
    <w:p w:rsidR="00D73342" w:rsidRPr="00D51C25" w:rsidRDefault="00941040" w:rsidP="00D51C25">
      <w:pPr>
        <w:tabs>
          <w:tab w:val="left" w:pos="567"/>
          <w:tab w:val="left" w:pos="1134"/>
        </w:tabs>
        <w:spacing w:after="0"/>
        <w:jc w:val="both"/>
        <w:rPr>
          <w:rFonts w:ascii="Arial" w:hAnsi="Arial" w:cs="Arial"/>
          <w:sz w:val="24"/>
          <w:szCs w:val="24"/>
        </w:rPr>
      </w:pPr>
    </w:p>
    <w:p w:rsidR="000156CD"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 xml:space="preserve">2018/19 Bridges - Due to operational issues several projects will not be completed within the 2018/19 financial year and therefore £1.108m of the original 2018/19 budget has been moved to 2019/20. </w:t>
      </w:r>
    </w:p>
    <w:p w:rsidR="00D73342" w:rsidRPr="00D51C25" w:rsidRDefault="00941040" w:rsidP="00D51C25">
      <w:pPr>
        <w:tabs>
          <w:tab w:val="left" w:pos="567"/>
          <w:tab w:val="left" w:pos="1134"/>
        </w:tabs>
        <w:spacing w:after="0"/>
        <w:jc w:val="both"/>
        <w:rPr>
          <w:rFonts w:ascii="Arial" w:hAnsi="Arial" w:cs="Arial"/>
          <w:sz w:val="24"/>
          <w:szCs w:val="24"/>
        </w:rPr>
      </w:pPr>
    </w:p>
    <w:p w:rsidR="000156CD"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2018/19 Roads -</w:t>
      </w:r>
      <w:r w:rsidRPr="00D51C25">
        <w:rPr>
          <w:rFonts w:ascii="Arial" w:hAnsi="Arial" w:cs="Arial"/>
          <w:sz w:val="24"/>
          <w:szCs w:val="24"/>
        </w:rPr>
        <w:t xml:space="preserve"> The £4.393m Pothole Action Fund monies is still being programmed into schemes to be delivered that will stop the deterioration of our roads and prevent </w:t>
      </w:r>
      <w:r>
        <w:rPr>
          <w:rFonts w:ascii="Arial" w:hAnsi="Arial" w:cs="Arial"/>
          <w:sz w:val="24"/>
          <w:szCs w:val="24"/>
        </w:rPr>
        <w:t>structural defects</w:t>
      </w:r>
      <w:r w:rsidRPr="00D51C25">
        <w:rPr>
          <w:rFonts w:ascii="Arial" w:hAnsi="Arial" w:cs="Arial"/>
          <w:sz w:val="24"/>
          <w:szCs w:val="24"/>
        </w:rPr>
        <w:t xml:space="preserve"> occurring.   The patching schemes will be delivered in 2018/19 but the inlay schemes</w:t>
      </w:r>
      <w:r w:rsidRPr="00D51C25">
        <w:rPr>
          <w:rFonts w:ascii="Arial" w:hAnsi="Arial" w:cs="Arial"/>
          <w:sz w:val="24"/>
          <w:szCs w:val="24"/>
        </w:rPr>
        <w:t xml:space="preserve"> will now only be delivered in 2019/20. The value of these schemes is £2.909m therefore the budget for this this has been moved to 2019/20. </w:t>
      </w:r>
    </w:p>
    <w:p w:rsidR="00D73342" w:rsidRPr="00D51C25" w:rsidRDefault="00941040" w:rsidP="00D51C25">
      <w:pPr>
        <w:tabs>
          <w:tab w:val="left" w:pos="567"/>
          <w:tab w:val="left" w:pos="1134"/>
        </w:tabs>
        <w:spacing w:after="0"/>
        <w:jc w:val="both"/>
        <w:rPr>
          <w:rFonts w:ascii="Arial" w:hAnsi="Arial" w:cs="Arial"/>
          <w:sz w:val="24"/>
          <w:szCs w:val="24"/>
        </w:rPr>
      </w:pPr>
    </w:p>
    <w:p w:rsidR="000156CD"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2018/19 DFT Incentive Fund - Two of the DFT incentive fund schemes will be delivered in 2019/20 causing £0.315m of</w:t>
      </w:r>
      <w:r w:rsidRPr="00D51C25">
        <w:rPr>
          <w:rFonts w:ascii="Arial" w:hAnsi="Arial" w:cs="Arial"/>
          <w:sz w:val="24"/>
          <w:szCs w:val="24"/>
        </w:rPr>
        <w:t xml:space="preserve"> the original 2018/19 budget to now be moved to 2019/20. </w:t>
      </w:r>
    </w:p>
    <w:p w:rsidR="00D73342" w:rsidRPr="00D51C25" w:rsidRDefault="00941040" w:rsidP="00D51C25">
      <w:pPr>
        <w:tabs>
          <w:tab w:val="left" w:pos="567"/>
          <w:tab w:val="left" w:pos="1134"/>
        </w:tabs>
        <w:spacing w:after="0"/>
        <w:jc w:val="both"/>
        <w:rPr>
          <w:rFonts w:ascii="Arial" w:hAnsi="Arial" w:cs="Arial"/>
          <w:sz w:val="24"/>
          <w:szCs w:val="24"/>
        </w:rPr>
      </w:pPr>
    </w:p>
    <w:p w:rsidR="000156CD" w:rsidRPr="00D51C25"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2018/19 Surface Dressing - It is anticipated that approximately £0.264m of the Surface Dressing Programme will now only be deliverable in 2019/20.</w:t>
      </w:r>
    </w:p>
    <w:p w:rsidR="000156CD" w:rsidRPr="00D51C25" w:rsidRDefault="00941040" w:rsidP="00D51C25">
      <w:pPr>
        <w:tabs>
          <w:tab w:val="left" w:pos="567"/>
          <w:tab w:val="left" w:pos="1134"/>
        </w:tabs>
        <w:spacing w:after="0"/>
        <w:jc w:val="both"/>
        <w:rPr>
          <w:rFonts w:ascii="Arial" w:hAnsi="Arial" w:cs="Arial"/>
          <w:b/>
          <w:sz w:val="24"/>
          <w:szCs w:val="24"/>
        </w:rPr>
      </w:pPr>
    </w:p>
    <w:p w:rsidR="000156CD" w:rsidRDefault="00941040" w:rsidP="00D51C25">
      <w:pPr>
        <w:tabs>
          <w:tab w:val="left" w:pos="567"/>
          <w:tab w:val="left" w:pos="1134"/>
        </w:tabs>
        <w:spacing w:after="0"/>
        <w:jc w:val="both"/>
        <w:rPr>
          <w:rFonts w:ascii="Arial" w:hAnsi="Arial" w:cs="Arial"/>
          <w:b/>
          <w:sz w:val="24"/>
          <w:szCs w:val="24"/>
        </w:rPr>
      </w:pPr>
      <w:r w:rsidRPr="00D51C25">
        <w:rPr>
          <w:rFonts w:ascii="Arial" w:hAnsi="Arial" w:cs="Arial"/>
          <w:b/>
          <w:sz w:val="24"/>
          <w:szCs w:val="24"/>
        </w:rPr>
        <w:t>Waste and Other</w:t>
      </w:r>
    </w:p>
    <w:p w:rsidR="007A49AB" w:rsidRPr="00D51C25" w:rsidRDefault="00941040" w:rsidP="00D51C25">
      <w:pPr>
        <w:tabs>
          <w:tab w:val="left" w:pos="567"/>
          <w:tab w:val="left" w:pos="1134"/>
        </w:tabs>
        <w:spacing w:after="0"/>
        <w:jc w:val="both"/>
        <w:rPr>
          <w:rFonts w:ascii="Arial" w:hAnsi="Arial" w:cs="Arial"/>
          <w:b/>
          <w:sz w:val="24"/>
          <w:szCs w:val="24"/>
        </w:rPr>
      </w:pPr>
    </w:p>
    <w:p w:rsidR="007A49AB" w:rsidRPr="00D51C25" w:rsidRDefault="00941040" w:rsidP="00D51C25">
      <w:pPr>
        <w:tabs>
          <w:tab w:val="left" w:pos="567"/>
          <w:tab w:val="left" w:pos="1134"/>
        </w:tabs>
        <w:spacing w:after="0"/>
        <w:jc w:val="both"/>
        <w:rPr>
          <w:rFonts w:ascii="Arial" w:hAnsi="Arial" w:cs="Arial"/>
          <w:b/>
          <w:sz w:val="24"/>
          <w:szCs w:val="24"/>
        </w:rPr>
      </w:pPr>
      <w:r w:rsidRPr="00D51C25">
        <w:rPr>
          <w:rFonts w:ascii="Arial" w:hAnsi="Arial" w:cs="Arial"/>
          <w:b/>
          <w:sz w:val="24"/>
          <w:szCs w:val="24"/>
        </w:rPr>
        <w:t xml:space="preserve">The Waste and Other capital </w:t>
      </w:r>
      <w:r w:rsidRPr="00D51C25">
        <w:rPr>
          <w:rFonts w:ascii="Arial" w:hAnsi="Arial" w:cs="Arial"/>
          <w:b/>
          <w:sz w:val="24"/>
          <w:szCs w:val="24"/>
        </w:rPr>
        <w:t>programme budget for 2018/19 is £0.</w:t>
      </w:r>
      <w:r>
        <w:rPr>
          <w:rFonts w:ascii="Arial" w:hAnsi="Arial" w:cs="Arial"/>
          <w:b/>
          <w:sz w:val="24"/>
          <w:szCs w:val="24"/>
        </w:rPr>
        <w:t>677</w:t>
      </w:r>
      <w:r w:rsidRPr="00D51C25">
        <w:rPr>
          <w:rFonts w:ascii="Arial" w:hAnsi="Arial" w:cs="Arial"/>
          <w:b/>
          <w:sz w:val="24"/>
          <w:szCs w:val="24"/>
        </w:rPr>
        <w:t>m</w:t>
      </w:r>
      <w:r>
        <w:rPr>
          <w:rFonts w:ascii="Arial" w:hAnsi="Arial" w:cs="Arial"/>
          <w:b/>
          <w:sz w:val="24"/>
          <w:szCs w:val="24"/>
        </w:rPr>
        <w:t xml:space="preserve"> forecasting to fully deliver in year. </w:t>
      </w:r>
    </w:p>
    <w:p w:rsidR="007A49AB" w:rsidRPr="00D51C25" w:rsidRDefault="00941040" w:rsidP="00D51C25">
      <w:pPr>
        <w:tabs>
          <w:tab w:val="left" w:pos="567"/>
          <w:tab w:val="left" w:pos="1134"/>
        </w:tabs>
        <w:spacing w:after="0"/>
        <w:jc w:val="both"/>
        <w:rPr>
          <w:rFonts w:ascii="Arial" w:hAnsi="Arial" w:cs="Arial"/>
          <w:sz w:val="24"/>
          <w:szCs w:val="24"/>
        </w:rPr>
      </w:pPr>
    </w:p>
    <w:p w:rsidR="000156CD"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Capital Contribution to Lancashire Environment Fund – The money is passported to the Environment fund and are forecasted to spend the full allocation in 2018/19</w:t>
      </w:r>
    </w:p>
    <w:p w:rsidR="007A49AB" w:rsidRPr="00D51C25" w:rsidRDefault="00941040" w:rsidP="00D51C25">
      <w:pPr>
        <w:tabs>
          <w:tab w:val="left" w:pos="567"/>
          <w:tab w:val="left" w:pos="1134"/>
        </w:tabs>
        <w:spacing w:after="0"/>
        <w:jc w:val="both"/>
        <w:rPr>
          <w:rFonts w:ascii="Arial" w:hAnsi="Arial" w:cs="Arial"/>
          <w:sz w:val="24"/>
          <w:szCs w:val="24"/>
        </w:rPr>
      </w:pPr>
    </w:p>
    <w:p w:rsidR="000156CD" w:rsidRPr="00D51C25"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 xml:space="preserve">Bamber Bridge, Cuerden Depot, Relocation of Metrology Service - Additional funding of £0.150m was added to the project in 2018/19 due to the demolition of portacabins on site and the relocation of the gas main. </w:t>
      </w:r>
      <w:r>
        <w:rPr>
          <w:rFonts w:ascii="Arial" w:hAnsi="Arial" w:cs="Arial"/>
          <w:sz w:val="24"/>
          <w:szCs w:val="24"/>
        </w:rPr>
        <w:t xml:space="preserve"> </w:t>
      </w:r>
      <w:r w:rsidRPr="00D51C25">
        <w:rPr>
          <w:rFonts w:ascii="Arial" w:hAnsi="Arial" w:cs="Arial"/>
          <w:sz w:val="24"/>
          <w:szCs w:val="24"/>
        </w:rPr>
        <w:t xml:space="preserve">The project is currently spending to budget </w:t>
      </w:r>
      <w:r w:rsidRPr="00D51C25">
        <w:rPr>
          <w:rFonts w:ascii="Arial" w:hAnsi="Arial" w:cs="Arial"/>
          <w:sz w:val="24"/>
          <w:szCs w:val="24"/>
        </w:rPr>
        <w:t>and is due to complete on time.</w:t>
      </w:r>
    </w:p>
    <w:p w:rsidR="00693132" w:rsidRPr="00D51C25" w:rsidRDefault="00941040" w:rsidP="00D51C25">
      <w:pPr>
        <w:tabs>
          <w:tab w:val="left" w:pos="567"/>
          <w:tab w:val="left" w:pos="1134"/>
        </w:tabs>
        <w:spacing w:after="0"/>
        <w:jc w:val="both"/>
        <w:rPr>
          <w:rFonts w:ascii="Arial" w:hAnsi="Arial" w:cs="Arial"/>
          <w:sz w:val="24"/>
          <w:szCs w:val="24"/>
        </w:rPr>
      </w:pPr>
    </w:p>
    <w:p w:rsidR="000156CD" w:rsidRDefault="00941040" w:rsidP="00D51C25">
      <w:pPr>
        <w:tabs>
          <w:tab w:val="left" w:pos="567"/>
          <w:tab w:val="left" w:pos="1134"/>
        </w:tabs>
        <w:spacing w:after="0"/>
        <w:jc w:val="both"/>
        <w:rPr>
          <w:rFonts w:ascii="Arial" w:hAnsi="Arial" w:cs="Arial"/>
          <w:b/>
          <w:sz w:val="24"/>
          <w:szCs w:val="24"/>
        </w:rPr>
      </w:pPr>
      <w:r w:rsidRPr="00D51C25">
        <w:rPr>
          <w:rFonts w:ascii="Arial" w:hAnsi="Arial" w:cs="Arial"/>
          <w:b/>
          <w:sz w:val="24"/>
          <w:szCs w:val="24"/>
        </w:rPr>
        <w:t xml:space="preserve">Adult </w:t>
      </w:r>
      <w:r>
        <w:rPr>
          <w:rFonts w:ascii="Arial" w:hAnsi="Arial" w:cs="Arial"/>
          <w:b/>
          <w:sz w:val="24"/>
          <w:szCs w:val="24"/>
        </w:rPr>
        <w:t>Social Care</w:t>
      </w:r>
    </w:p>
    <w:p w:rsidR="007A49AB" w:rsidRPr="00D51C25" w:rsidRDefault="00941040" w:rsidP="00D51C25">
      <w:pPr>
        <w:tabs>
          <w:tab w:val="left" w:pos="567"/>
          <w:tab w:val="left" w:pos="1134"/>
        </w:tabs>
        <w:spacing w:after="0"/>
        <w:jc w:val="both"/>
        <w:rPr>
          <w:rFonts w:ascii="Arial" w:hAnsi="Arial" w:cs="Arial"/>
          <w:b/>
          <w:sz w:val="24"/>
          <w:szCs w:val="24"/>
        </w:rPr>
      </w:pPr>
    </w:p>
    <w:p w:rsidR="007A49AB" w:rsidRPr="002E0526" w:rsidRDefault="00941040" w:rsidP="00D51C25">
      <w:pPr>
        <w:tabs>
          <w:tab w:val="left" w:pos="567"/>
          <w:tab w:val="left" w:pos="1134"/>
        </w:tabs>
        <w:spacing w:after="0"/>
        <w:jc w:val="both"/>
        <w:rPr>
          <w:rFonts w:ascii="Arial" w:hAnsi="Arial" w:cs="Arial"/>
          <w:b/>
          <w:sz w:val="24"/>
          <w:szCs w:val="24"/>
        </w:rPr>
      </w:pPr>
      <w:r w:rsidRPr="00D51C25">
        <w:rPr>
          <w:rFonts w:ascii="Arial" w:hAnsi="Arial" w:cs="Arial"/>
          <w:b/>
          <w:sz w:val="24"/>
          <w:szCs w:val="24"/>
        </w:rPr>
        <w:t xml:space="preserve">The Adult and Community Services capital programme </w:t>
      </w:r>
      <w:r>
        <w:rPr>
          <w:rFonts w:ascii="Arial" w:hAnsi="Arial" w:cs="Arial"/>
          <w:b/>
          <w:sz w:val="24"/>
          <w:szCs w:val="24"/>
        </w:rPr>
        <w:t>budget for 2018/19 is £13.687m including the £13.652m Disabled Facilities Grant which is an amount passported to districts in full in Qtr. 1 each year</w:t>
      </w:r>
      <w:r w:rsidRPr="00D51C25">
        <w:rPr>
          <w:rFonts w:ascii="Arial" w:hAnsi="Arial" w:cs="Arial"/>
          <w:b/>
          <w:sz w:val="24"/>
          <w:szCs w:val="24"/>
        </w:rPr>
        <w:t xml:space="preserve">. </w:t>
      </w:r>
    </w:p>
    <w:p w:rsidR="000156CD" w:rsidRPr="00D51C25" w:rsidRDefault="00941040" w:rsidP="00D51C25">
      <w:pPr>
        <w:tabs>
          <w:tab w:val="left" w:pos="567"/>
          <w:tab w:val="left" w:pos="1134"/>
        </w:tabs>
        <w:spacing w:after="0"/>
        <w:jc w:val="both"/>
        <w:rPr>
          <w:rFonts w:ascii="Arial" w:hAnsi="Arial" w:cs="Arial"/>
          <w:sz w:val="24"/>
          <w:szCs w:val="24"/>
        </w:rPr>
      </w:pPr>
    </w:p>
    <w:p w:rsidR="000156CD" w:rsidRPr="00D51C25" w:rsidRDefault="00941040" w:rsidP="00D51C25">
      <w:pPr>
        <w:tabs>
          <w:tab w:val="left" w:pos="567"/>
          <w:tab w:val="left" w:pos="1134"/>
        </w:tabs>
        <w:spacing w:after="0"/>
        <w:jc w:val="both"/>
        <w:rPr>
          <w:rFonts w:ascii="Arial" w:hAnsi="Arial" w:cs="Arial"/>
          <w:sz w:val="24"/>
          <w:szCs w:val="24"/>
        </w:rPr>
      </w:pPr>
      <w:r>
        <w:rPr>
          <w:rFonts w:ascii="Arial" w:hAnsi="Arial" w:cs="Arial"/>
          <w:sz w:val="24"/>
          <w:szCs w:val="24"/>
        </w:rPr>
        <w:t>There is</w:t>
      </w:r>
      <w:r w:rsidRPr="00D51C25">
        <w:rPr>
          <w:rFonts w:ascii="Arial" w:hAnsi="Arial" w:cs="Arial"/>
          <w:sz w:val="24"/>
          <w:szCs w:val="24"/>
        </w:rPr>
        <w:t xml:space="preserve"> currently one active project from prior year budgets on Preston Chapel Yard. </w:t>
      </w:r>
      <w:r>
        <w:rPr>
          <w:rFonts w:ascii="Arial" w:hAnsi="Arial" w:cs="Arial"/>
          <w:sz w:val="24"/>
          <w:szCs w:val="24"/>
        </w:rPr>
        <w:t xml:space="preserve"> </w:t>
      </w:r>
      <w:r w:rsidRPr="00D51C25">
        <w:rPr>
          <w:rFonts w:ascii="Arial" w:hAnsi="Arial" w:cs="Arial"/>
          <w:sz w:val="24"/>
          <w:szCs w:val="24"/>
        </w:rPr>
        <w:t>There is a forecast spend of £0.03</w:t>
      </w:r>
      <w:r>
        <w:rPr>
          <w:rFonts w:ascii="Arial" w:hAnsi="Arial" w:cs="Arial"/>
          <w:sz w:val="24"/>
          <w:szCs w:val="24"/>
        </w:rPr>
        <w:t>5</w:t>
      </w:r>
      <w:r w:rsidRPr="00D51C25">
        <w:rPr>
          <w:rFonts w:ascii="Arial" w:hAnsi="Arial" w:cs="Arial"/>
          <w:sz w:val="24"/>
          <w:szCs w:val="24"/>
        </w:rPr>
        <w:t>m for this prior year scheme in 2018/19.</w:t>
      </w:r>
    </w:p>
    <w:p w:rsidR="00693132" w:rsidRDefault="00941040" w:rsidP="00D51C25">
      <w:pPr>
        <w:tabs>
          <w:tab w:val="left" w:pos="567"/>
          <w:tab w:val="left" w:pos="1134"/>
        </w:tabs>
        <w:spacing w:after="0"/>
        <w:jc w:val="both"/>
        <w:rPr>
          <w:rFonts w:ascii="Arial" w:hAnsi="Arial" w:cs="Arial"/>
          <w:b/>
          <w:sz w:val="24"/>
          <w:szCs w:val="24"/>
        </w:rPr>
      </w:pPr>
    </w:p>
    <w:p w:rsidR="000156CD" w:rsidRDefault="00941040" w:rsidP="00D51C25">
      <w:pPr>
        <w:tabs>
          <w:tab w:val="left" w:pos="567"/>
          <w:tab w:val="left" w:pos="1134"/>
        </w:tabs>
        <w:spacing w:after="0"/>
        <w:jc w:val="both"/>
        <w:rPr>
          <w:rFonts w:ascii="Arial" w:hAnsi="Arial" w:cs="Arial"/>
          <w:b/>
          <w:sz w:val="24"/>
          <w:szCs w:val="24"/>
        </w:rPr>
      </w:pPr>
      <w:r w:rsidRPr="00D51C25">
        <w:rPr>
          <w:rFonts w:ascii="Arial" w:hAnsi="Arial" w:cs="Arial"/>
          <w:b/>
          <w:sz w:val="24"/>
          <w:szCs w:val="24"/>
        </w:rPr>
        <w:t>Corporate</w:t>
      </w:r>
    </w:p>
    <w:p w:rsidR="007A49AB" w:rsidRPr="00D51C25" w:rsidRDefault="00941040" w:rsidP="00D51C25">
      <w:pPr>
        <w:tabs>
          <w:tab w:val="left" w:pos="567"/>
          <w:tab w:val="left" w:pos="1134"/>
        </w:tabs>
        <w:spacing w:after="0"/>
        <w:jc w:val="both"/>
        <w:rPr>
          <w:rFonts w:ascii="Arial" w:hAnsi="Arial" w:cs="Arial"/>
          <w:b/>
          <w:sz w:val="24"/>
          <w:szCs w:val="24"/>
        </w:rPr>
      </w:pPr>
    </w:p>
    <w:p w:rsidR="000156CD" w:rsidRDefault="00941040" w:rsidP="00D51C25">
      <w:pPr>
        <w:tabs>
          <w:tab w:val="left" w:pos="567"/>
          <w:tab w:val="left" w:pos="1134"/>
        </w:tabs>
        <w:spacing w:after="0"/>
        <w:jc w:val="both"/>
        <w:rPr>
          <w:rFonts w:ascii="Arial" w:hAnsi="Arial" w:cs="Arial"/>
          <w:b/>
          <w:sz w:val="24"/>
          <w:szCs w:val="24"/>
        </w:rPr>
      </w:pPr>
      <w:r w:rsidRPr="00D51C25">
        <w:rPr>
          <w:rFonts w:ascii="Arial" w:hAnsi="Arial" w:cs="Arial"/>
          <w:b/>
          <w:sz w:val="24"/>
          <w:szCs w:val="24"/>
        </w:rPr>
        <w:t>The Corporate capital programme budget for 2018/19 at Q1 is £</w:t>
      </w:r>
      <w:r>
        <w:rPr>
          <w:rFonts w:ascii="Arial" w:hAnsi="Arial" w:cs="Arial"/>
          <w:b/>
          <w:sz w:val="24"/>
          <w:szCs w:val="24"/>
        </w:rPr>
        <w:t>10.499</w:t>
      </w:r>
      <w:r w:rsidRPr="00D51C25">
        <w:rPr>
          <w:rFonts w:ascii="Arial" w:hAnsi="Arial" w:cs="Arial"/>
          <w:b/>
          <w:sz w:val="24"/>
          <w:szCs w:val="24"/>
        </w:rPr>
        <w:t xml:space="preserve">m. </w:t>
      </w:r>
      <w:r>
        <w:rPr>
          <w:rFonts w:ascii="Arial" w:hAnsi="Arial" w:cs="Arial"/>
          <w:b/>
          <w:sz w:val="24"/>
          <w:szCs w:val="24"/>
        </w:rPr>
        <w:t xml:space="preserve"> </w:t>
      </w:r>
      <w:r w:rsidRPr="00D51C25">
        <w:rPr>
          <w:rFonts w:ascii="Arial" w:hAnsi="Arial" w:cs="Arial"/>
          <w:b/>
          <w:sz w:val="24"/>
          <w:szCs w:val="24"/>
        </w:rPr>
        <w:t xml:space="preserve">Outturn </w:t>
      </w:r>
      <w:r w:rsidRPr="00D51C25">
        <w:rPr>
          <w:rFonts w:ascii="Arial" w:hAnsi="Arial" w:cs="Arial"/>
          <w:b/>
          <w:sz w:val="24"/>
          <w:szCs w:val="24"/>
        </w:rPr>
        <w:t>spend against this budget is forecast at £</w:t>
      </w:r>
      <w:r>
        <w:rPr>
          <w:rFonts w:ascii="Arial" w:hAnsi="Arial" w:cs="Arial"/>
          <w:b/>
          <w:sz w:val="24"/>
          <w:szCs w:val="24"/>
        </w:rPr>
        <w:t>8.184</w:t>
      </w:r>
      <w:r w:rsidRPr="00D51C25">
        <w:rPr>
          <w:rFonts w:ascii="Arial" w:hAnsi="Arial" w:cs="Arial"/>
          <w:b/>
          <w:sz w:val="24"/>
          <w:szCs w:val="24"/>
        </w:rPr>
        <w:t xml:space="preserve">m, a variance of £2.315m. </w:t>
      </w:r>
      <w:r>
        <w:rPr>
          <w:rFonts w:ascii="Arial" w:hAnsi="Arial" w:cs="Arial"/>
          <w:b/>
          <w:sz w:val="24"/>
          <w:szCs w:val="24"/>
        </w:rPr>
        <w:t xml:space="preserve"> </w:t>
      </w:r>
      <w:r w:rsidRPr="00D51C25">
        <w:rPr>
          <w:rFonts w:ascii="Arial" w:hAnsi="Arial" w:cs="Arial"/>
          <w:b/>
          <w:sz w:val="24"/>
          <w:szCs w:val="24"/>
        </w:rPr>
        <w:t>This variance can be summarised as follows:</w:t>
      </w:r>
    </w:p>
    <w:p w:rsidR="007A49AB" w:rsidRPr="00D51C25" w:rsidRDefault="00941040" w:rsidP="00D51C25">
      <w:pPr>
        <w:tabs>
          <w:tab w:val="left" w:pos="567"/>
          <w:tab w:val="left" w:pos="1134"/>
        </w:tabs>
        <w:spacing w:after="0"/>
        <w:jc w:val="both"/>
        <w:rPr>
          <w:rFonts w:ascii="Arial" w:hAnsi="Arial" w:cs="Arial"/>
          <w:sz w:val="24"/>
          <w:szCs w:val="24"/>
        </w:rPr>
      </w:pPr>
    </w:p>
    <w:p w:rsidR="00693132" w:rsidRPr="00D51C25"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 xml:space="preserve">Slipped delivery of £2.315m on Property projects budgets. </w:t>
      </w:r>
      <w:r>
        <w:rPr>
          <w:rFonts w:ascii="Arial" w:hAnsi="Arial" w:cs="Arial"/>
          <w:sz w:val="24"/>
          <w:szCs w:val="24"/>
        </w:rPr>
        <w:t xml:space="preserve"> </w:t>
      </w:r>
      <w:r w:rsidRPr="00D51C25">
        <w:rPr>
          <w:rFonts w:ascii="Arial" w:hAnsi="Arial" w:cs="Arial"/>
          <w:sz w:val="24"/>
          <w:szCs w:val="24"/>
        </w:rPr>
        <w:t>A decision has been made to profile £2.870m of unallocated monies in the Prope</w:t>
      </w:r>
      <w:r w:rsidRPr="00D51C25">
        <w:rPr>
          <w:rFonts w:ascii="Arial" w:hAnsi="Arial" w:cs="Arial"/>
          <w:sz w:val="24"/>
          <w:szCs w:val="24"/>
        </w:rPr>
        <w:t xml:space="preserve">rty Rationalisation programme into future years, however £2.000m has been left in 2018-19 as there will be emerging projects through the year that may require this money, </w:t>
      </w:r>
      <w:r>
        <w:rPr>
          <w:rFonts w:ascii="Arial" w:hAnsi="Arial" w:cs="Arial"/>
          <w:sz w:val="24"/>
          <w:szCs w:val="24"/>
        </w:rPr>
        <w:t xml:space="preserve">although </w:t>
      </w:r>
      <w:r w:rsidRPr="00D51C25">
        <w:rPr>
          <w:rFonts w:ascii="Arial" w:hAnsi="Arial" w:cs="Arial"/>
          <w:sz w:val="24"/>
          <w:szCs w:val="24"/>
        </w:rPr>
        <w:t xml:space="preserve">at this time it remains unallocated leaving a risk of slipped delivery. </w:t>
      </w:r>
      <w:r>
        <w:rPr>
          <w:rFonts w:ascii="Arial" w:hAnsi="Arial" w:cs="Arial"/>
          <w:sz w:val="24"/>
          <w:szCs w:val="24"/>
        </w:rPr>
        <w:t xml:space="preserve"> </w:t>
      </w:r>
      <w:r w:rsidRPr="00D51C25">
        <w:rPr>
          <w:rFonts w:ascii="Arial" w:hAnsi="Arial" w:cs="Arial"/>
          <w:sz w:val="24"/>
          <w:szCs w:val="24"/>
        </w:rPr>
        <w:t>Oth</w:t>
      </w:r>
      <w:r w:rsidRPr="00D51C25">
        <w:rPr>
          <w:rFonts w:ascii="Arial" w:hAnsi="Arial" w:cs="Arial"/>
          <w:sz w:val="24"/>
          <w:szCs w:val="24"/>
        </w:rPr>
        <w:t xml:space="preserve">er smaller projects within the Property programme have a risk of slippage of £0.315m given current spend profiles and retentions however the projects are still scheduled to complete this year.   </w:t>
      </w:r>
    </w:p>
    <w:p w:rsidR="001F0EF9" w:rsidRPr="00D51C25" w:rsidRDefault="00941040" w:rsidP="00D51C25">
      <w:pPr>
        <w:tabs>
          <w:tab w:val="left" w:pos="567"/>
          <w:tab w:val="left" w:pos="1134"/>
        </w:tabs>
        <w:spacing w:after="0"/>
        <w:jc w:val="both"/>
        <w:rPr>
          <w:rFonts w:ascii="Arial" w:hAnsi="Arial" w:cs="Arial"/>
          <w:b/>
          <w:sz w:val="24"/>
          <w:szCs w:val="24"/>
        </w:rPr>
      </w:pPr>
    </w:p>
    <w:p w:rsidR="000156CD" w:rsidRDefault="00941040" w:rsidP="00D51C25">
      <w:pPr>
        <w:tabs>
          <w:tab w:val="left" w:pos="567"/>
          <w:tab w:val="left" w:pos="1134"/>
        </w:tabs>
        <w:spacing w:after="0"/>
        <w:jc w:val="both"/>
        <w:rPr>
          <w:rFonts w:ascii="Arial" w:hAnsi="Arial" w:cs="Arial"/>
          <w:b/>
          <w:sz w:val="24"/>
          <w:szCs w:val="24"/>
        </w:rPr>
      </w:pPr>
      <w:r w:rsidRPr="00D51C25">
        <w:rPr>
          <w:rFonts w:ascii="Arial" w:hAnsi="Arial" w:cs="Arial"/>
          <w:b/>
          <w:sz w:val="24"/>
          <w:szCs w:val="24"/>
        </w:rPr>
        <w:t>Transport</w:t>
      </w:r>
    </w:p>
    <w:p w:rsidR="007A49AB" w:rsidRPr="00D51C25" w:rsidRDefault="00941040" w:rsidP="00D51C25">
      <w:pPr>
        <w:tabs>
          <w:tab w:val="left" w:pos="567"/>
          <w:tab w:val="left" w:pos="1134"/>
        </w:tabs>
        <w:spacing w:after="0"/>
        <w:jc w:val="both"/>
        <w:rPr>
          <w:rFonts w:ascii="Arial" w:hAnsi="Arial" w:cs="Arial"/>
          <w:sz w:val="24"/>
          <w:szCs w:val="24"/>
        </w:rPr>
      </w:pPr>
    </w:p>
    <w:p w:rsidR="007A49AB" w:rsidRDefault="00941040" w:rsidP="00D51C25">
      <w:pPr>
        <w:tabs>
          <w:tab w:val="left" w:pos="567"/>
          <w:tab w:val="left" w:pos="1134"/>
        </w:tabs>
        <w:spacing w:after="0"/>
        <w:jc w:val="both"/>
        <w:rPr>
          <w:rFonts w:ascii="Arial" w:hAnsi="Arial" w:cs="Arial"/>
          <w:b/>
          <w:sz w:val="24"/>
          <w:szCs w:val="24"/>
        </w:rPr>
      </w:pPr>
      <w:r w:rsidRPr="00D51C25">
        <w:rPr>
          <w:rFonts w:ascii="Arial" w:hAnsi="Arial" w:cs="Arial"/>
          <w:b/>
          <w:sz w:val="24"/>
          <w:szCs w:val="24"/>
        </w:rPr>
        <w:t>The Transport capital programme budget for 2018/</w:t>
      </w:r>
      <w:r w:rsidRPr="00D51C25">
        <w:rPr>
          <w:rFonts w:ascii="Arial" w:hAnsi="Arial" w:cs="Arial"/>
          <w:b/>
          <w:sz w:val="24"/>
          <w:szCs w:val="24"/>
        </w:rPr>
        <w:t>19 is £</w:t>
      </w:r>
      <w:r>
        <w:rPr>
          <w:rFonts w:ascii="Arial" w:hAnsi="Arial" w:cs="Arial"/>
          <w:b/>
          <w:sz w:val="24"/>
          <w:szCs w:val="24"/>
        </w:rPr>
        <w:t>13.912</w:t>
      </w:r>
      <w:r w:rsidRPr="00D51C25">
        <w:rPr>
          <w:rFonts w:ascii="Arial" w:hAnsi="Arial" w:cs="Arial"/>
          <w:b/>
          <w:sz w:val="24"/>
          <w:szCs w:val="24"/>
        </w:rPr>
        <w:t>m.</w:t>
      </w:r>
      <w:r>
        <w:rPr>
          <w:rFonts w:ascii="Arial" w:hAnsi="Arial" w:cs="Arial"/>
          <w:b/>
          <w:sz w:val="24"/>
          <w:szCs w:val="24"/>
        </w:rPr>
        <w:t xml:space="preserve"> </w:t>
      </w:r>
      <w:r w:rsidRPr="00D51C25">
        <w:rPr>
          <w:rFonts w:ascii="Arial" w:hAnsi="Arial" w:cs="Arial"/>
          <w:b/>
          <w:sz w:val="24"/>
          <w:szCs w:val="24"/>
        </w:rPr>
        <w:t xml:space="preserve"> </w:t>
      </w:r>
    </w:p>
    <w:p w:rsidR="002E0526" w:rsidRPr="00D51C25" w:rsidRDefault="00941040" w:rsidP="00D51C25">
      <w:pPr>
        <w:tabs>
          <w:tab w:val="left" w:pos="567"/>
          <w:tab w:val="left" w:pos="1134"/>
        </w:tabs>
        <w:spacing w:after="0"/>
        <w:jc w:val="both"/>
        <w:rPr>
          <w:rFonts w:ascii="Arial" w:hAnsi="Arial" w:cs="Arial"/>
          <w:b/>
          <w:sz w:val="24"/>
          <w:szCs w:val="24"/>
        </w:rPr>
      </w:pPr>
    </w:p>
    <w:p w:rsidR="000156CD"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For quarter 1 monitoring, the forecast outturn for Transport is at budget.</w:t>
      </w:r>
      <w:r>
        <w:rPr>
          <w:rFonts w:ascii="Arial" w:hAnsi="Arial" w:cs="Arial"/>
          <w:sz w:val="24"/>
          <w:szCs w:val="24"/>
        </w:rPr>
        <w:t xml:space="preserve"> </w:t>
      </w:r>
      <w:r w:rsidRPr="00D51C25">
        <w:rPr>
          <w:rFonts w:ascii="Arial" w:hAnsi="Arial" w:cs="Arial"/>
          <w:sz w:val="24"/>
          <w:szCs w:val="24"/>
        </w:rPr>
        <w:t xml:space="preserve"> A summary of the programmes within the Transport block are below:</w:t>
      </w:r>
    </w:p>
    <w:p w:rsidR="00D73342" w:rsidRPr="00D51C25" w:rsidRDefault="00941040" w:rsidP="00D51C25">
      <w:pPr>
        <w:tabs>
          <w:tab w:val="left" w:pos="567"/>
          <w:tab w:val="left" w:pos="1134"/>
        </w:tabs>
        <w:spacing w:after="0"/>
        <w:jc w:val="both"/>
        <w:rPr>
          <w:rFonts w:ascii="Arial" w:hAnsi="Arial" w:cs="Arial"/>
          <w:sz w:val="24"/>
          <w:szCs w:val="24"/>
        </w:rPr>
      </w:pPr>
    </w:p>
    <w:p w:rsidR="000B0D78"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N</w:t>
      </w:r>
      <w:r>
        <w:rPr>
          <w:rFonts w:ascii="Arial" w:hAnsi="Arial" w:cs="Arial"/>
          <w:sz w:val="24"/>
          <w:szCs w:val="24"/>
        </w:rPr>
        <w:t>ational Productivity Investment Fund (NPIF)</w:t>
      </w:r>
      <w:r w:rsidRPr="00D51C25">
        <w:rPr>
          <w:rFonts w:ascii="Arial" w:hAnsi="Arial" w:cs="Arial"/>
          <w:sz w:val="24"/>
          <w:szCs w:val="24"/>
        </w:rPr>
        <w:t xml:space="preserve"> - The NPIF programme has been fully allocated for 2018/19 with £0.414m budget added for 2018/19 coming from repurposed allocation.</w:t>
      </w:r>
      <w:r>
        <w:rPr>
          <w:rFonts w:ascii="Arial" w:hAnsi="Arial" w:cs="Arial"/>
          <w:sz w:val="24"/>
          <w:szCs w:val="24"/>
        </w:rPr>
        <w:t xml:space="preserve"> </w:t>
      </w:r>
      <w:r w:rsidRPr="00D51C25">
        <w:rPr>
          <w:rFonts w:ascii="Arial" w:hAnsi="Arial" w:cs="Arial"/>
          <w:sz w:val="24"/>
          <w:szCs w:val="24"/>
        </w:rPr>
        <w:t xml:space="preserve"> Four projects have been approved and are currently at design stage.</w:t>
      </w:r>
      <w:r>
        <w:rPr>
          <w:rFonts w:ascii="Arial" w:hAnsi="Arial" w:cs="Arial"/>
          <w:sz w:val="24"/>
          <w:szCs w:val="24"/>
        </w:rPr>
        <w:t xml:space="preserve"> </w:t>
      </w:r>
      <w:r w:rsidRPr="00D51C25">
        <w:rPr>
          <w:rFonts w:ascii="Arial" w:hAnsi="Arial" w:cs="Arial"/>
          <w:sz w:val="24"/>
          <w:szCs w:val="24"/>
        </w:rPr>
        <w:t>These are A583 Riversway Corridor, M65 Junction 13 East</w:t>
      </w:r>
      <w:r w:rsidRPr="00D51C25">
        <w:rPr>
          <w:rFonts w:ascii="Arial" w:hAnsi="Arial" w:cs="Arial"/>
          <w:sz w:val="24"/>
          <w:szCs w:val="24"/>
        </w:rPr>
        <w:t>ern roundabout, Vivary Way North valley Rd and M6 Jct 31, Swallow Hotel.</w:t>
      </w:r>
      <w:r>
        <w:rPr>
          <w:rFonts w:ascii="Arial" w:hAnsi="Arial" w:cs="Arial"/>
          <w:sz w:val="24"/>
          <w:szCs w:val="24"/>
        </w:rPr>
        <w:t xml:space="preserve"> </w:t>
      </w:r>
      <w:r w:rsidRPr="00D51C25">
        <w:rPr>
          <w:rFonts w:ascii="Arial" w:hAnsi="Arial" w:cs="Arial"/>
          <w:sz w:val="24"/>
          <w:szCs w:val="24"/>
        </w:rPr>
        <w:t xml:space="preserve"> No spend has currently been recorded in the 1st quarter but these schemes are </w:t>
      </w:r>
      <w:r>
        <w:rPr>
          <w:rFonts w:ascii="Arial" w:hAnsi="Arial" w:cs="Arial"/>
          <w:sz w:val="24"/>
          <w:szCs w:val="24"/>
        </w:rPr>
        <w:t>forecast</w:t>
      </w:r>
      <w:r w:rsidRPr="00D51C25">
        <w:rPr>
          <w:rFonts w:ascii="Arial" w:hAnsi="Arial" w:cs="Arial"/>
          <w:sz w:val="24"/>
          <w:szCs w:val="24"/>
        </w:rPr>
        <w:t xml:space="preserve"> to spend to budget in year. </w:t>
      </w:r>
    </w:p>
    <w:p w:rsidR="00D73342" w:rsidRPr="00D51C25" w:rsidRDefault="00941040" w:rsidP="00D51C25">
      <w:pPr>
        <w:tabs>
          <w:tab w:val="left" w:pos="567"/>
          <w:tab w:val="left" w:pos="1134"/>
        </w:tabs>
        <w:spacing w:after="0"/>
        <w:jc w:val="both"/>
        <w:rPr>
          <w:rFonts w:ascii="Arial" w:hAnsi="Arial" w:cs="Arial"/>
          <w:sz w:val="24"/>
          <w:szCs w:val="24"/>
        </w:rPr>
      </w:pPr>
    </w:p>
    <w:p w:rsidR="00AA6E6B"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City Deal – There is a budgeted £6.000m contribution to City Deal</w:t>
      </w:r>
      <w:r w:rsidRPr="00D51C25">
        <w:rPr>
          <w:rFonts w:ascii="Arial" w:hAnsi="Arial" w:cs="Arial"/>
          <w:sz w:val="24"/>
          <w:szCs w:val="24"/>
        </w:rPr>
        <w:t xml:space="preserve"> in the 2018/19 budget. </w:t>
      </w:r>
    </w:p>
    <w:p w:rsidR="00D73342" w:rsidRPr="00D51C25" w:rsidRDefault="00941040" w:rsidP="00D51C25">
      <w:pPr>
        <w:tabs>
          <w:tab w:val="left" w:pos="567"/>
          <w:tab w:val="left" w:pos="1134"/>
        </w:tabs>
        <w:spacing w:after="0"/>
        <w:jc w:val="both"/>
        <w:rPr>
          <w:rFonts w:ascii="Arial" w:hAnsi="Arial" w:cs="Arial"/>
          <w:sz w:val="24"/>
          <w:szCs w:val="24"/>
        </w:rPr>
      </w:pPr>
    </w:p>
    <w:p w:rsidR="000156CD"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 xml:space="preserve">Lancaster City Centre Congestion relief - Lancaster Master Plan currently comprises of two schemes; Lancaster District Rapid Transit (LDRT) and Lancaster Caton Road Park and Ride. </w:t>
      </w:r>
      <w:r>
        <w:rPr>
          <w:rFonts w:ascii="Arial" w:hAnsi="Arial" w:cs="Arial"/>
          <w:sz w:val="24"/>
          <w:szCs w:val="24"/>
        </w:rPr>
        <w:t xml:space="preserve"> </w:t>
      </w:r>
      <w:r w:rsidRPr="00D51C25">
        <w:rPr>
          <w:rFonts w:ascii="Arial" w:hAnsi="Arial" w:cs="Arial"/>
          <w:sz w:val="24"/>
          <w:szCs w:val="24"/>
        </w:rPr>
        <w:t xml:space="preserve">Both schemes are forecast to complete in year and be on budget. LDRP spend is all against prior year budgets, whereas Lancaster Caton Road has £0.136m of 2018/19 budget along with slipped prior year budgets </w:t>
      </w:r>
    </w:p>
    <w:p w:rsidR="00D73342" w:rsidRPr="00D51C25" w:rsidRDefault="00941040" w:rsidP="00D51C25">
      <w:pPr>
        <w:tabs>
          <w:tab w:val="left" w:pos="567"/>
          <w:tab w:val="left" w:pos="1134"/>
        </w:tabs>
        <w:spacing w:after="0"/>
        <w:jc w:val="both"/>
        <w:rPr>
          <w:rFonts w:ascii="Arial" w:hAnsi="Arial" w:cs="Arial"/>
          <w:sz w:val="24"/>
          <w:szCs w:val="24"/>
        </w:rPr>
      </w:pPr>
    </w:p>
    <w:p w:rsidR="000156CD"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Skelmersdale Rail Link - Skelmersdale rail link</w:t>
      </w:r>
      <w:r w:rsidRPr="00D51C25">
        <w:rPr>
          <w:rFonts w:ascii="Arial" w:hAnsi="Arial" w:cs="Arial"/>
          <w:sz w:val="24"/>
          <w:szCs w:val="24"/>
        </w:rPr>
        <w:t xml:space="preserve"> consists of 4 schemes, one of which has been completed.</w:t>
      </w:r>
      <w:r>
        <w:rPr>
          <w:rFonts w:ascii="Arial" w:hAnsi="Arial" w:cs="Arial"/>
          <w:sz w:val="24"/>
          <w:szCs w:val="24"/>
        </w:rPr>
        <w:t xml:space="preserve"> </w:t>
      </w:r>
      <w:r w:rsidRPr="00D51C25">
        <w:rPr>
          <w:rFonts w:ascii="Arial" w:hAnsi="Arial" w:cs="Arial"/>
          <w:sz w:val="24"/>
          <w:szCs w:val="24"/>
        </w:rPr>
        <w:t xml:space="preserve"> The Skelmersdale rail link Programme is anticipated to fully spend the 2018/19 budget of £1.385m.  Additionally,  spend of  prior years' slipped budget of £3.992m is also forecast to be fully spent </w:t>
      </w:r>
      <w:r w:rsidRPr="00D51C25">
        <w:rPr>
          <w:rFonts w:ascii="Arial" w:hAnsi="Arial" w:cs="Arial"/>
          <w:sz w:val="24"/>
          <w:szCs w:val="24"/>
        </w:rPr>
        <w:t>as the programme is expected to recover the delays incurred last year due to the time required to agree the design services contract with Network Rail being longer than previously estimated</w:t>
      </w:r>
    </w:p>
    <w:p w:rsidR="00D73342" w:rsidRPr="00D51C25" w:rsidRDefault="00941040" w:rsidP="00D51C25">
      <w:pPr>
        <w:tabs>
          <w:tab w:val="left" w:pos="567"/>
          <w:tab w:val="left" w:pos="1134"/>
        </w:tabs>
        <w:spacing w:after="0"/>
        <w:jc w:val="both"/>
        <w:rPr>
          <w:rFonts w:ascii="Arial" w:hAnsi="Arial" w:cs="Arial"/>
          <w:sz w:val="24"/>
          <w:szCs w:val="24"/>
        </w:rPr>
      </w:pPr>
    </w:p>
    <w:p w:rsidR="000156CD"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Heysham - An additional £2.790m has been added to the Heysham pro</w:t>
      </w:r>
      <w:r w:rsidRPr="00D51C25">
        <w:rPr>
          <w:rFonts w:ascii="Arial" w:hAnsi="Arial" w:cs="Arial"/>
          <w:sz w:val="24"/>
          <w:szCs w:val="24"/>
        </w:rPr>
        <w:t xml:space="preserve">ject using part of the DFT allocation. </w:t>
      </w:r>
      <w:r>
        <w:rPr>
          <w:rFonts w:ascii="Arial" w:hAnsi="Arial" w:cs="Arial"/>
          <w:sz w:val="24"/>
          <w:szCs w:val="24"/>
        </w:rPr>
        <w:t xml:space="preserve"> </w:t>
      </w:r>
      <w:r w:rsidRPr="00D51C25">
        <w:rPr>
          <w:rFonts w:ascii="Arial" w:hAnsi="Arial" w:cs="Arial"/>
          <w:sz w:val="24"/>
          <w:szCs w:val="24"/>
        </w:rPr>
        <w:t>The project is currently in the final stages with the majority of works being Health and Safety along with A6 Beaumont Roundabo</w:t>
      </w:r>
      <w:r>
        <w:rPr>
          <w:rFonts w:ascii="Arial" w:hAnsi="Arial" w:cs="Arial"/>
          <w:sz w:val="24"/>
          <w:szCs w:val="24"/>
        </w:rPr>
        <w:t xml:space="preserve">ut and land compensation payments which are due to continue for several years. </w:t>
      </w:r>
    </w:p>
    <w:p w:rsidR="00DD6F82" w:rsidRDefault="00941040" w:rsidP="00D51C25">
      <w:pPr>
        <w:tabs>
          <w:tab w:val="left" w:pos="567"/>
          <w:tab w:val="left" w:pos="1134"/>
        </w:tabs>
        <w:spacing w:after="0"/>
        <w:jc w:val="both"/>
        <w:rPr>
          <w:rFonts w:ascii="Arial" w:hAnsi="Arial" w:cs="Arial"/>
          <w:sz w:val="24"/>
          <w:szCs w:val="24"/>
        </w:rPr>
      </w:pPr>
    </w:p>
    <w:p w:rsidR="00DD6F82" w:rsidRPr="00D51C25" w:rsidRDefault="00941040" w:rsidP="00DD6F82">
      <w:pPr>
        <w:tabs>
          <w:tab w:val="left" w:pos="567"/>
          <w:tab w:val="left" w:pos="1134"/>
        </w:tabs>
        <w:spacing w:after="0"/>
        <w:jc w:val="both"/>
        <w:rPr>
          <w:rFonts w:ascii="Arial" w:hAnsi="Arial" w:cs="Arial"/>
          <w:sz w:val="24"/>
          <w:szCs w:val="24"/>
        </w:rPr>
      </w:pPr>
      <w:r w:rsidRPr="00D51C25">
        <w:rPr>
          <w:rFonts w:ascii="Arial" w:hAnsi="Arial" w:cs="Arial"/>
          <w:sz w:val="24"/>
          <w:szCs w:val="24"/>
        </w:rPr>
        <w:t xml:space="preserve">Cycling </w:t>
      </w:r>
      <w:r w:rsidRPr="00D51C25">
        <w:rPr>
          <w:rFonts w:ascii="Arial" w:hAnsi="Arial" w:cs="Arial"/>
          <w:sz w:val="24"/>
          <w:szCs w:val="24"/>
        </w:rPr>
        <w:t>Safety - Cycling safety has an allocation of £0.500m each year</w:t>
      </w:r>
      <w:r>
        <w:rPr>
          <w:rFonts w:ascii="Arial" w:hAnsi="Arial" w:cs="Arial"/>
          <w:sz w:val="24"/>
          <w:szCs w:val="24"/>
        </w:rPr>
        <w:t>, spend in 2018/19 is forecast on prior year schemes. The capacity for design and delivery of the schemes originally programmed for 2018/19 has been reviewed and the full programme is now foreca</w:t>
      </w:r>
      <w:r>
        <w:rPr>
          <w:rFonts w:ascii="Arial" w:hAnsi="Arial" w:cs="Arial"/>
          <w:sz w:val="24"/>
          <w:szCs w:val="24"/>
        </w:rPr>
        <w:t>st for design in 2019/20 and delivery in 2020/21</w:t>
      </w:r>
    </w:p>
    <w:p w:rsidR="00D73342" w:rsidRPr="00D51C25" w:rsidRDefault="00941040" w:rsidP="00D51C25">
      <w:pPr>
        <w:tabs>
          <w:tab w:val="left" w:pos="567"/>
          <w:tab w:val="left" w:pos="1134"/>
        </w:tabs>
        <w:spacing w:after="0"/>
        <w:jc w:val="both"/>
        <w:rPr>
          <w:rFonts w:ascii="Arial" w:hAnsi="Arial" w:cs="Arial"/>
          <w:sz w:val="24"/>
          <w:szCs w:val="24"/>
        </w:rPr>
      </w:pPr>
    </w:p>
    <w:p w:rsidR="000156CD"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 xml:space="preserve">Road Safety- Road Safety </w:t>
      </w:r>
      <w:r>
        <w:rPr>
          <w:rFonts w:ascii="Arial" w:hAnsi="Arial" w:cs="Arial"/>
          <w:sz w:val="24"/>
          <w:szCs w:val="24"/>
        </w:rPr>
        <w:t xml:space="preserve">similarly </w:t>
      </w:r>
      <w:r w:rsidRPr="00D51C25">
        <w:rPr>
          <w:rFonts w:ascii="Arial" w:hAnsi="Arial" w:cs="Arial"/>
          <w:sz w:val="24"/>
          <w:szCs w:val="24"/>
        </w:rPr>
        <w:t xml:space="preserve">has a delivery budget </w:t>
      </w:r>
      <w:r>
        <w:rPr>
          <w:rFonts w:ascii="Arial" w:hAnsi="Arial" w:cs="Arial"/>
          <w:sz w:val="24"/>
          <w:szCs w:val="24"/>
        </w:rPr>
        <w:t xml:space="preserve">allocation </w:t>
      </w:r>
      <w:r w:rsidRPr="00D51C25">
        <w:rPr>
          <w:rFonts w:ascii="Arial" w:hAnsi="Arial" w:cs="Arial"/>
          <w:sz w:val="24"/>
          <w:szCs w:val="24"/>
        </w:rPr>
        <w:t xml:space="preserve">of £0.500m per annum. </w:t>
      </w:r>
      <w:r>
        <w:rPr>
          <w:rFonts w:ascii="Arial" w:hAnsi="Arial" w:cs="Arial"/>
          <w:sz w:val="24"/>
          <w:szCs w:val="24"/>
        </w:rPr>
        <w:t xml:space="preserve"> </w:t>
      </w:r>
      <w:r w:rsidRPr="00D51C25">
        <w:rPr>
          <w:rFonts w:ascii="Arial" w:hAnsi="Arial" w:cs="Arial"/>
          <w:sz w:val="24"/>
          <w:szCs w:val="24"/>
        </w:rPr>
        <w:t>However</w:t>
      </w:r>
      <w:r>
        <w:rPr>
          <w:rFonts w:ascii="Arial" w:hAnsi="Arial" w:cs="Arial"/>
          <w:sz w:val="24"/>
          <w:szCs w:val="24"/>
        </w:rPr>
        <w:t xml:space="preserve"> the deliver in 2018/19 will focus on the schemes slipped from 2017/18. </w:t>
      </w:r>
      <w:r w:rsidRPr="00D51C25">
        <w:rPr>
          <w:rFonts w:ascii="Arial" w:hAnsi="Arial" w:cs="Arial"/>
          <w:sz w:val="24"/>
          <w:szCs w:val="24"/>
        </w:rPr>
        <w:t>Consequently, the 2018/19 allocation</w:t>
      </w:r>
      <w:r w:rsidRPr="00D51C25">
        <w:rPr>
          <w:rFonts w:ascii="Arial" w:hAnsi="Arial" w:cs="Arial"/>
          <w:sz w:val="24"/>
          <w:szCs w:val="24"/>
        </w:rPr>
        <w:t xml:space="preserve"> has been re-profiled into 2019/20</w:t>
      </w:r>
      <w:r>
        <w:rPr>
          <w:rFonts w:ascii="Arial" w:hAnsi="Arial" w:cs="Arial"/>
          <w:sz w:val="24"/>
          <w:szCs w:val="24"/>
        </w:rPr>
        <w:t xml:space="preserve"> for design </w:t>
      </w:r>
      <w:r w:rsidRPr="00D51C25">
        <w:rPr>
          <w:rFonts w:ascii="Arial" w:hAnsi="Arial" w:cs="Arial"/>
          <w:sz w:val="24"/>
          <w:szCs w:val="24"/>
        </w:rPr>
        <w:t>and 2020/21</w:t>
      </w:r>
      <w:r>
        <w:rPr>
          <w:rFonts w:ascii="Arial" w:hAnsi="Arial" w:cs="Arial"/>
          <w:sz w:val="24"/>
          <w:szCs w:val="24"/>
        </w:rPr>
        <w:t xml:space="preserve"> for delivery.</w:t>
      </w:r>
      <w:r w:rsidRPr="00D51C25">
        <w:rPr>
          <w:rFonts w:ascii="Arial" w:hAnsi="Arial" w:cs="Arial"/>
          <w:sz w:val="24"/>
          <w:szCs w:val="24"/>
        </w:rPr>
        <w:t xml:space="preserve"> </w:t>
      </w:r>
    </w:p>
    <w:p w:rsidR="00D73342" w:rsidRPr="00D51C25" w:rsidRDefault="00941040" w:rsidP="00D51C25">
      <w:pPr>
        <w:tabs>
          <w:tab w:val="left" w:pos="567"/>
          <w:tab w:val="left" w:pos="1134"/>
        </w:tabs>
        <w:spacing w:after="0"/>
        <w:jc w:val="both"/>
        <w:rPr>
          <w:rFonts w:ascii="Arial" w:hAnsi="Arial" w:cs="Arial"/>
          <w:sz w:val="24"/>
          <w:szCs w:val="24"/>
        </w:rPr>
      </w:pPr>
    </w:p>
    <w:p w:rsidR="000156CD" w:rsidRPr="00D51C25" w:rsidRDefault="00941040" w:rsidP="00D51C25">
      <w:pPr>
        <w:tabs>
          <w:tab w:val="left" w:pos="567"/>
          <w:tab w:val="left" w:pos="1134"/>
        </w:tabs>
        <w:spacing w:after="0"/>
        <w:jc w:val="both"/>
        <w:rPr>
          <w:rFonts w:ascii="Arial" w:hAnsi="Arial" w:cs="Arial"/>
          <w:sz w:val="24"/>
          <w:szCs w:val="24"/>
        </w:rPr>
      </w:pPr>
      <w:r w:rsidRPr="00D51C25">
        <w:rPr>
          <w:rFonts w:ascii="Arial" w:hAnsi="Arial" w:cs="Arial"/>
          <w:sz w:val="24"/>
          <w:szCs w:val="24"/>
        </w:rPr>
        <w:t>PROW - Public Rights Of Way has a delivery budget of £0.250m from the Transport DFT allocation, of which £0.116m has been reprofiled into future years to allow for catch up on previo</w:t>
      </w:r>
      <w:r w:rsidRPr="00D51C25">
        <w:rPr>
          <w:rFonts w:ascii="Arial" w:hAnsi="Arial" w:cs="Arial"/>
          <w:sz w:val="24"/>
          <w:szCs w:val="24"/>
        </w:rPr>
        <w:t xml:space="preserve">us years projects </w:t>
      </w:r>
    </w:p>
    <w:p w:rsidR="00C76E93" w:rsidRPr="00D51C25" w:rsidRDefault="00941040" w:rsidP="00D51C25">
      <w:pPr>
        <w:tabs>
          <w:tab w:val="left" w:pos="567"/>
          <w:tab w:val="left" w:pos="1134"/>
        </w:tabs>
        <w:spacing w:after="0"/>
        <w:jc w:val="both"/>
        <w:rPr>
          <w:rFonts w:ascii="Arial" w:eastAsia="Calibri" w:hAnsi="Arial" w:cs="Arial"/>
          <w:b/>
          <w:sz w:val="24"/>
          <w:szCs w:val="24"/>
        </w:rPr>
      </w:pPr>
    </w:p>
    <w:p w:rsidR="000156CD" w:rsidRDefault="00941040" w:rsidP="00D51C25">
      <w:pPr>
        <w:tabs>
          <w:tab w:val="left" w:pos="567"/>
          <w:tab w:val="left" w:pos="1134"/>
        </w:tabs>
        <w:spacing w:after="0"/>
        <w:jc w:val="both"/>
        <w:rPr>
          <w:rFonts w:ascii="Arial" w:eastAsia="Calibri" w:hAnsi="Arial" w:cs="Arial"/>
          <w:b/>
          <w:sz w:val="24"/>
          <w:szCs w:val="24"/>
        </w:rPr>
      </w:pPr>
      <w:r w:rsidRPr="00D51C25">
        <w:rPr>
          <w:rFonts w:ascii="Arial" w:eastAsia="Calibri" w:hAnsi="Arial" w:cs="Arial"/>
          <w:b/>
          <w:sz w:val="24"/>
          <w:szCs w:val="24"/>
        </w:rPr>
        <w:t>Vehicles</w:t>
      </w:r>
    </w:p>
    <w:p w:rsidR="00866D28" w:rsidRPr="00D51C25" w:rsidRDefault="00941040" w:rsidP="00D51C25">
      <w:pPr>
        <w:tabs>
          <w:tab w:val="left" w:pos="567"/>
          <w:tab w:val="left" w:pos="1134"/>
        </w:tabs>
        <w:spacing w:after="0"/>
        <w:jc w:val="both"/>
        <w:rPr>
          <w:rFonts w:ascii="Arial" w:eastAsia="Calibri" w:hAnsi="Arial" w:cs="Arial"/>
          <w:sz w:val="24"/>
          <w:szCs w:val="24"/>
        </w:rPr>
      </w:pPr>
    </w:p>
    <w:p w:rsidR="0025545C" w:rsidRDefault="00941040" w:rsidP="00D51C25">
      <w:pPr>
        <w:tabs>
          <w:tab w:val="left" w:pos="567"/>
          <w:tab w:val="left" w:pos="1134"/>
        </w:tabs>
        <w:autoSpaceDE w:val="0"/>
        <w:autoSpaceDN w:val="0"/>
        <w:adjustRightInd w:val="0"/>
        <w:spacing w:after="0" w:line="240" w:lineRule="auto"/>
        <w:jc w:val="both"/>
        <w:rPr>
          <w:rFonts w:ascii="Arial" w:eastAsia="Calibri" w:hAnsi="Arial" w:cs="Arial"/>
          <w:b/>
          <w:sz w:val="24"/>
          <w:szCs w:val="24"/>
        </w:rPr>
      </w:pPr>
      <w:r w:rsidRPr="00D51C25">
        <w:rPr>
          <w:rFonts w:ascii="Arial" w:eastAsia="Calibri" w:hAnsi="Arial" w:cs="Arial"/>
          <w:b/>
          <w:sz w:val="24"/>
          <w:szCs w:val="24"/>
        </w:rPr>
        <w:t>The Vehicles capital programme budget for 2018/19 is £</w:t>
      </w:r>
      <w:r>
        <w:rPr>
          <w:rFonts w:ascii="Arial" w:eastAsia="Calibri" w:hAnsi="Arial" w:cs="Arial"/>
          <w:b/>
          <w:sz w:val="24"/>
          <w:szCs w:val="24"/>
        </w:rPr>
        <w:t>3.720</w:t>
      </w:r>
      <w:r w:rsidRPr="00D51C25">
        <w:rPr>
          <w:rFonts w:ascii="Arial" w:eastAsia="Calibri" w:hAnsi="Arial" w:cs="Arial"/>
          <w:b/>
          <w:sz w:val="24"/>
          <w:szCs w:val="24"/>
        </w:rPr>
        <w:t>m</w:t>
      </w:r>
      <w:r>
        <w:rPr>
          <w:rFonts w:ascii="Arial" w:eastAsia="Calibri" w:hAnsi="Arial" w:cs="Arial"/>
          <w:b/>
          <w:sz w:val="24"/>
          <w:szCs w:val="24"/>
        </w:rPr>
        <w:t xml:space="preserve"> and the forecast is on budget.  </w:t>
      </w:r>
    </w:p>
    <w:p w:rsidR="00D73342" w:rsidRPr="00D51C25" w:rsidRDefault="00941040" w:rsidP="00D51C25">
      <w:pPr>
        <w:tabs>
          <w:tab w:val="left" w:pos="567"/>
          <w:tab w:val="left" w:pos="1134"/>
        </w:tabs>
        <w:autoSpaceDE w:val="0"/>
        <w:autoSpaceDN w:val="0"/>
        <w:adjustRightInd w:val="0"/>
        <w:spacing w:after="0" w:line="240" w:lineRule="auto"/>
        <w:jc w:val="both"/>
        <w:rPr>
          <w:rFonts w:ascii="Arial" w:eastAsia="Calibri" w:hAnsi="Arial" w:cs="Arial"/>
          <w:sz w:val="24"/>
          <w:szCs w:val="24"/>
        </w:rPr>
      </w:pPr>
    </w:p>
    <w:p w:rsidR="000156CD" w:rsidRPr="00D51C25" w:rsidRDefault="00941040" w:rsidP="00D51C25">
      <w:pPr>
        <w:tabs>
          <w:tab w:val="left" w:pos="567"/>
          <w:tab w:val="left" w:pos="1134"/>
        </w:tabs>
        <w:autoSpaceDE w:val="0"/>
        <w:autoSpaceDN w:val="0"/>
        <w:adjustRightInd w:val="0"/>
        <w:spacing w:after="0" w:line="240" w:lineRule="auto"/>
        <w:jc w:val="both"/>
        <w:rPr>
          <w:rFonts w:ascii="Arial" w:eastAsia="Calibri" w:hAnsi="Arial" w:cs="Arial"/>
          <w:sz w:val="24"/>
          <w:szCs w:val="24"/>
        </w:rPr>
      </w:pPr>
      <w:r w:rsidRPr="00D51C25">
        <w:rPr>
          <w:rFonts w:ascii="Arial" w:eastAsia="Calibri" w:hAnsi="Arial" w:cs="Arial"/>
          <w:sz w:val="24"/>
          <w:szCs w:val="24"/>
        </w:rPr>
        <w:t xml:space="preserve">Significant purchases include approximately £0.800m on replacement vehicles for the recently transferred in Waste Service, £0.800m on Travel Care Vehicles and £0.656m on 7 Salt Spreading Vehicles. </w:t>
      </w:r>
      <w:r>
        <w:rPr>
          <w:rFonts w:ascii="Arial" w:eastAsia="Calibri" w:hAnsi="Arial" w:cs="Arial"/>
          <w:sz w:val="24"/>
          <w:szCs w:val="24"/>
        </w:rPr>
        <w:t xml:space="preserve"> </w:t>
      </w:r>
      <w:r w:rsidRPr="00D51C25">
        <w:rPr>
          <w:rFonts w:ascii="Arial" w:eastAsia="Calibri" w:hAnsi="Arial" w:cs="Arial"/>
          <w:sz w:val="24"/>
          <w:szCs w:val="24"/>
        </w:rPr>
        <w:t xml:space="preserve">These are to be funded from the </w:t>
      </w:r>
      <w:r>
        <w:rPr>
          <w:rFonts w:ascii="Arial" w:eastAsia="Calibri" w:hAnsi="Arial" w:cs="Arial"/>
          <w:sz w:val="24"/>
          <w:szCs w:val="24"/>
        </w:rPr>
        <w:t xml:space="preserve">original </w:t>
      </w:r>
      <w:r w:rsidRPr="00D51C25">
        <w:rPr>
          <w:rFonts w:ascii="Arial" w:eastAsia="Calibri" w:hAnsi="Arial" w:cs="Arial"/>
          <w:sz w:val="24"/>
          <w:szCs w:val="24"/>
        </w:rPr>
        <w:t>2018/19 budget as</w:t>
      </w:r>
      <w:r w:rsidRPr="00D51C25">
        <w:rPr>
          <w:rFonts w:ascii="Arial" w:eastAsia="Calibri" w:hAnsi="Arial" w:cs="Arial"/>
          <w:sz w:val="24"/>
          <w:szCs w:val="24"/>
        </w:rPr>
        <w:t xml:space="preserve"> well as slipped budget from prior years</w:t>
      </w:r>
    </w:p>
    <w:p w:rsidR="000156CD" w:rsidRDefault="00941040" w:rsidP="00D51C25">
      <w:pPr>
        <w:pStyle w:val="ListParagraph"/>
        <w:tabs>
          <w:tab w:val="left" w:pos="567"/>
          <w:tab w:val="left" w:pos="1134"/>
        </w:tabs>
        <w:spacing w:after="0"/>
        <w:ind w:left="0"/>
        <w:jc w:val="both"/>
        <w:rPr>
          <w:rFonts w:ascii="Arial" w:hAnsi="Arial" w:cs="Arial"/>
          <w:sz w:val="24"/>
          <w:szCs w:val="24"/>
        </w:rPr>
      </w:pPr>
    </w:p>
    <w:p w:rsidR="00866D28" w:rsidRPr="00D51C25" w:rsidRDefault="00941040" w:rsidP="00D51C25">
      <w:pPr>
        <w:pStyle w:val="ListParagraph"/>
        <w:tabs>
          <w:tab w:val="left" w:pos="567"/>
          <w:tab w:val="left" w:pos="1134"/>
        </w:tabs>
        <w:spacing w:after="0"/>
        <w:ind w:left="0"/>
        <w:jc w:val="both"/>
        <w:rPr>
          <w:rFonts w:ascii="Arial" w:hAnsi="Arial" w:cs="Arial"/>
          <w:sz w:val="24"/>
          <w:szCs w:val="24"/>
        </w:rPr>
      </w:pPr>
    </w:p>
    <w:p w:rsidR="000156CD" w:rsidRPr="00D51C25" w:rsidRDefault="00941040" w:rsidP="00D51C25">
      <w:pPr>
        <w:pStyle w:val="ListParagraph"/>
        <w:numPr>
          <w:ilvl w:val="0"/>
          <w:numId w:val="1"/>
        </w:numPr>
        <w:tabs>
          <w:tab w:val="left" w:pos="567"/>
          <w:tab w:val="left" w:pos="1134"/>
        </w:tabs>
        <w:spacing w:after="0"/>
        <w:jc w:val="both"/>
        <w:rPr>
          <w:rFonts w:ascii="Arial" w:hAnsi="Arial" w:cs="Arial"/>
          <w:b/>
          <w:sz w:val="24"/>
          <w:szCs w:val="24"/>
        </w:rPr>
      </w:pPr>
      <w:r w:rsidRPr="00D51C25">
        <w:rPr>
          <w:rFonts w:ascii="Arial" w:hAnsi="Arial" w:cs="Arial"/>
          <w:b/>
          <w:sz w:val="24"/>
          <w:szCs w:val="24"/>
        </w:rPr>
        <w:t xml:space="preserve">Funding </w:t>
      </w:r>
    </w:p>
    <w:p w:rsidR="00AA6E6B" w:rsidRPr="00D51C25" w:rsidRDefault="00941040" w:rsidP="00D51C25">
      <w:pPr>
        <w:pStyle w:val="ListParagraph"/>
        <w:tabs>
          <w:tab w:val="left" w:pos="567"/>
          <w:tab w:val="left" w:pos="1134"/>
        </w:tabs>
        <w:spacing w:after="0"/>
        <w:ind w:left="0"/>
        <w:jc w:val="both"/>
        <w:rPr>
          <w:rFonts w:ascii="Arial" w:hAnsi="Arial" w:cs="Arial"/>
          <w:sz w:val="24"/>
          <w:szCs w:val="24"/>
        </w:rPr>
      </w:pPr>
    </w:p>
    <w:p w:rsidR="00693132" w:rsidRPr="00D51C25" w:rsidRDefault="00941040" w:rsidP="00D51C25">
      <w:pPr>
        <w:pStyle w:val="ListParagraph"/>
        <w:tabs>
          <w:tab w:val="left" w:pos="567"/>
          <w:tab w:val="left" w:pos="1134"/>
        </w:tabs>
        <w:spacing w:after="0"/>
        <w:ind w:left="0"/>
        <w:jc w:val="both"/>
        <w:rPr>
          <w:rFonts w:ascii="Arial" w:eastAsia="Calibri" w:hAnsi="Arial" w:cs="Arial"/>
          <w:sz w:val="24"/>
          <w:szCs w:val="24"/>
        </w:rPr>
      </w:pPr>
      <w:r w:rsidRPr="00D51C25">
        <w:rPr>
          <w:rFonts w:ascii="Arial" w:hAnsi="Arial" w:cs="Arial"/>
          <w:sz w:val="24"/>
          <w:szCs w:val="24"/>
        </w:rPr>
        <w:t xml:space="preserve">The current funding position for the capital programme for 2018/19 and future years is shown in table </w:t>
      </w:r>
      <w:r>
        <w:rPr>
          <w:rFonts w:ascii="Arial" w:hAnsi="Arial" w:cs="Arial"/>
          <w:sz w:val="24"/>
          <w:szCs w:val="24"/>
        </w:rPr>
        <w:t>3</w:t>
      </w:r>
      <w:r w:rsidRPr="00D51C25">
        <w:rPr>
          <w:rFonts w:ascii="Arial" w:hAnsi="Arial" w:cs="Arial"/>
          <w:sz w:val="24"/>
          <w:szCs w:val="24"/>
        </w:rPr>
        <w:t xml:space="preserve"> below.  This shows the current position based on forecast spend in 2018/19 and for future years for all projects already approved in 2019/20 and 2020/21 as well as those now reprofiled from 2018-19.  </w:t>
      </w:r>
      <w:r w:rsidRPr="00D51C25">
        <w:rPr>
          <w:rFonts w:ascii="Arial" w:eastAsia="Calibri" w:hAnsi="Arial" w:cs="Arial"/>
          <w:sz w:val="24"/>
          <w:szCs w:val="24"/>
        </w:rPr>
        <w:t>There will be further programmes added in to 2019/20 as</w:t>
      </w:r>
      <w:r w:rsidRPr="00D51C25">
        <w:rPr>
          <w:rFonts w:ascii="Arial" w:eastAsia="Calibri" w:hAnsi="Arial" w:cs="Arial"/>
          <w:sz w:val="24"/>
          <w:szCs w:val="24"/>
        </w:rPr>
        <w:t xml:space="preserve"> we receive grant notifications and work up the programmes that this will be utilised on.  </w:t>
      </w:r>
    </w:p>
    <w:p w:rsidR="00C76E93" w:rsidRPr="00D51C25" w:rsidRDefault="00941040" w:rsidP="00D51C25">
      <w:pPr>
        <w:pStyle w:val="ListParagraph"/>
        <w:tabs>
          <w:tab w:val="left" w:pos="567"/>
          <w:tab w:val="left" w:pos="1134"/>
        </w:tabs>
        <w:spacing w:after="0"/>
        <w:ind w:left="0"/>
        <w:jc w:val="both"/>
        <w:rPr>
          <w:rFonts w:ascii="Arial" w:eastAsia="Calibri" w:hAnsi="Arial" w:cs="Arial"/>
          <w:sz w:val="24"/>
          <w:szCs w:val="24"/>
        </w:rPr>
      </w:pPr>
    </w:p>
    <w:p w:rsidR="00693132" w:rsidRDefault="00941040" w:rsidP="00D51C25">
      <w:pPr>
        <w:pStyle w:val="ListParagraph"/>
        <w:tabs>
          <w:tab w:val="left" w:pos="567"/>
          <w:tab w:val="left" w:pos="1134"/>
        </w:tabs>
        <w:spacing w:after="0"/>
        <w:ind w:left="0"/>
        <w:jc w:val="both"/>
        <w:rPr>
          <w:rFonts w:ascii="Arial" w:eastAsia="Calibri" w:hAnsi="Arial" w:cs="Arial"/>
          <w:b/>
          <w:sz w:val="24"/>
          <w:szCs w:val="24"/>
        </w:rPr>
      </w:pPr>
      <w:r w:rsidRPr="00D51C25">
        <w:rPr>
          <w:rFonts w:ascii="Arial" w:eastAsia="Calibri" w:hAnsi="Arial" w:cs="Arial"/>
          <w:b/>
          <w:sz w:val="24"/>
          <w:szCs w:val="24"/>
        </w:rPr>
        <w:t xml:space="preserve">Table </w:t>
      </w:r>
      <w:r>
        <w:rPr>
          <w:rFonts w:ascii="Arial" w:eastAsia="Calibri" w:hAnsi="Arial" w:cs="Arial"/>
          <w:b/>
          <w:sz w:val="24"/>
          <w:szCs w:val="24"/>
        </w:rPr>
        <w:t>3</w:t>
      </w:r>
      <w:r w:rsidRPr="00D51C25">
        <w:rPr>
          <w:rFonts w:ascii="Arial" w:eastAsia="Calibri" w:hAnsi="Arial" w:cs="Arial"/>
          <w:b/>
          <w:sz w:val="24"/>
          <w:szCs w:val="24"/>
        </w:rPr>
        <w:t xml:space="preserve"> - Funding position 2018/19 to 2020/21</w:t>
      </w:r>
    </w:p>
    <w:p w:rsidR="00866D28" w:rsidRPr="00D51C25" w:rsidRDefault="00941040" w:rsidP="00D51C25">
      <w:pPr>
        <w:pStyle w:val="ListParagraph"/>
        <w:tabs>
          <w:tab w:val="left" w:pos="567"/>
          <w:tab w:val="left" w:pos="1134"/>
        </w:tabs>
        <w:spacing w:after="0"/>
        <w:ind w:left="0"/>
        <w:jc w:val="both"/>
        <w:rPr>
          <w:rFonts w:ascii="Arial" w:eastAsia="Calibri"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
        <w:gridCol w:w="1560"/>
        <w:gridCol w:w="1417"/>
        <w:gridCol w:w="1508"/>
      </w:tblGrid>
      <w:tr w:rsidR="00F37D77" w:rsidTr="00840420">
        <w:tc>
          <w:tcPr>
            <w:tcW w:w="4531" w:type="dxa"/>
            <w:gridSpan w:val="2"/>
          </w:tcPr>
          <w:p w:rsidR="00866D28" w:rsidRPr="00EE3A9B" w:rsidRDefault="00941040" w:rsidP="00D51C25">
            <w:pPr>
              <w:pStyle w:val="ListParagraph"/>
              <w:tabs>
                <w:tab w:val="left" w:pos="567"/>
                <w:tab w:val="left" w:pos="1134"/>
              </w:tabs>
              <w:ind w:left="0"/>
              <w:jc w:val="both"/>
              <w:rPr>
                <w:rFonts w:ascii="Arial" w:eastAsia="Calibri" w:hAnsi="Arial" w:cs="Arial"/>
                <w:sz w:val="24"/>
                <w:szCs w:val="24"/>
                <w:u w:val="single"/>
              </w:rPr>
            </w:pPr>
            <w:r w:rsidRPr="00EE3A9B">
              <w:rPr>
                <w:rFonts w:ascii="Arial" w:eastAsia="Calibri" w:hAnsi="Arial" w:cs="Arial"/>
                <w:b/>
                <w:sz w:val="24"/>
                <w:szCs w:val="24"/>
                <w:u w:val="single"/>
              </w:rPr>
              <w:t>3 Year Capital Programme</w:t>
            </w:r>
          </w:p>
        </w:tc>
        <w:tc>
          <w:tcPr>
            <w:tcW w:w="1560" w:type="dxa"/>
          </w:tcPr>
          <w:p w:rsid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417" w:type="dxa"/>
          </w:tcPr>
          <w:p w:rsid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08" w:type="dxa"/>
          </w:tcPr>
          <w:p w:rsidR="00866D28" w:rsidRDefault="00941040" w:rsidP="00D51C25">
            <w:pPr>
              <w:pStyle w:val="ListParagraph"/>
              <w:tabs>
                <w:tab w:val="left" w:pos="567"/>
                <w:tab w:val="left" w:pos="1134"/>
              </w:tabs>
              <w:ind w:left="0"/>
              <w:jc w:val="both"/>
              <w:rPr>
                <w:rFonts w:ascii="Arial" w:eastAsia="Calibri" w:hAnsi="Arial" w:cs="Arial"/>
                <w:sz w:val="24"/>
                <w:szCs w:val="24"/>
              </w:rPr>
            </w:pPr>
          </w:p>
        </w:tc>
      </w:tr>
      <w:tr w:rsidR="00F37D77" w:rsidTr="00840420">
        <w:tc>
          <w:tcPr>
            <w:tcW w:w="4531" w:type="dxa"/>
            <w:gridSpan w:val="2"/>
          </w:tcPr>
          <w:p w:rsidR="00840420" w:rsidRDefault="00941040" w:rsidP="00D51C25">
            <w:pPr>
              <w:pStyle w:val="ListParagraph"/>
              <w:tabs>
                <w:tab w:val="left" w:pos="567"/>
                <w:tab w:val="left" w:pos="1134"/>
              </w:tabs>
              <w:ind w:left="0"/>
              <w:jc w:val="both"/>
              <w:rPr>
                <w:rFonts w:ascii="Arial" w:eastAsia="Calibri" w:hAnsi="Arial" w:cs="Arial"/>
                <w:b/>
                <w:sz w:val="24"/>
                <w:szCs w:val="24"/>
              </w:rPr>
            </w:pPr>
          </w:p>
        </w:tc>
        <w:tc>
          <w:tcPr>
            <w:tcW w:w="1560" w:type="dxa"/>
          </w:tcPr>
          <w:p w:rsidR="00840420" w:rsidRDefault="00941040" w:rsidP="00D51C25">
            <w:pPr>
              <w:pStyle w:val="ListParagraph"/>
              <w:tabs>
                <w:tab w:val="left" w:pos="567"/>
                <w:tab w:val="left" w:pos="1134"/>
              </w:tabs>
              <w:ind w:left="0"/>
              <w:jc w:val="both"/>
              <w:rPr>
                <w:rFonts w:ascii="Arial" w:eastAsia="Calibri" w:hAnsi="Arial" w:cs="Arial"/>
                <w:sz w:val="24"/>
                <w:szCs w:val="24"/>
              </w:rPr>
            </w:pPr>
          </w:p>
        </w:tc>
        <w:tc>
          <w:tcPr>
            <w:tcW w:w="1417" w:type="dxa"/>
          </w:tcPr>
          <w:p w:rsidR="00840420" w:rsidRDefault="00941040" w:rsidP="00D51C25">
            <w:pPr>
              <w:pStyle w:val="ListParagraph"/>
              <w:tabs>
                <w:tab w:val="left" w:pos="567"/>
                <w:tab w:val="left" w:pos="1134"/>
              </w:tabs>
              <w:ind w:left="0"/>
              <w:jc w:val="both"/>
              <w:rPr>
                <w:rFonts w:ascii="Arial" w:eastAsia="Calibri" w:hAnsi="Arial" w:cs="Arial"/>
                <w:sz w:val="24"/>
                <w:szCs w:val="24"/>
              </w:rPr>
            </w:pPr>
          </w:p>
        </w:tc>
        <w:tc>
          <w:tcPr>
            <w:tcW w:w="1508" w:type="dxa"/>
          </w:tcPr>
          <w:p w:rsidR="00840420" w:rsidRDefault="00941040" w:rsidP="00D51C25">
            <w:pPr>
              <w:pStyle w:val="ListParagraph"/>
              <w:tabs>
                <w:tab w:val="left" w:pos="567"/>
                <w:tab w:val="left" w:pos="1134"/>
              </w:tabs>
              <w:ind w:left="0"/>
              <w:jc w:val="both"/>
              <w:rPr>
                <w:rFonts w:ascii="Arial" w:eastAsia="Calibri" w:hAnsi="Arial" w:cs="Arial"/>
                <w:sz w:val="24"/>
                <w:szCs w:val="24"/>
              </w:rPr>
            </w:pPr>
          </w:p>
        </w:tc>
      </w:tr>
      <w:tr w:rsidR="00F37D77" w:rsidTr="00840420">
        <w:tc>
          <w:tcPr>
            <w:tcW w:w="3964" w:type="dxa"/>
          </w:tcPr>
          <w:p w:rsidR="00866D28" w:rsidRPr="00840420" w:rsidRDefault="00941040" w:rsidP="00840420">
            <w:pPr>
              <w:pStyle w:val="ListParagraph"/>
              <w:tabs>
                <w:tab w:val="left" w:pos="567"/>
                <w:tab w:val="left" w:pos="1134"/>
              </w:tabs>
              <w:ind w:left="0"/>
              <w:rPr>
                <w:rFonts w:ascii="Arial" w:eastAsia="Calibri" w:hAnsi="Arial" w:cs="Arial"/>
                <w:b/>
                <w:sz w:val="24"/>
                <w:szCs w:val="24"/>
              </w:rPr>
            </w:pPr>
            <w:r w:rsidRPr="00840420">
              <w:rPr>
                <w:rFonts w:ascii="Arial" w:eastAsia="Calibri" w:hAnsi="Arial" w:cs="Arial"/>
                <w:b/>
                <w:sz w:val="24"/>
                <w:szCs w:val="24"/>
              </w:rPr>
              <w:t>Anticipated Spend</w:t>
            </w:r>
          </w:p>
        </w:tc>
        <w:tc>
          <w:tcPr>
            <w:tcW w:w="567" w:type="dxa"/>
          </w:tcPr>
          <w:p w:rsidR="00866D28" w:rsidRPr="00840420" w:rsidRDefault="00941040" w:rsidP="00866D28">
            <w:pPr>
              <w:pStyle w:val="ListParagraph"/>
              <w:tabs>
                <w:tab w:val="left" w:pos="567"/>
                <w:tab w:val="left" w:pos="1134"/>
              </w:tabs>
              <w:ind w:left="0"/>
              <w:jc w:val="center"/>
              <w:rPr>
                <w:rFonts w:ascii="Arial" w:eastAsia="Calibri" w:hAnsi="Arial" w:cs="Arial"/>
                <w:b/>
                <w:sz w:val="24"/>
                <w:szCs w:val="24"/>
              </w:rPr>
            </w:pPr>
          </w:p>
        </w:tc>
        <w:tc>
          <w:tcPr>
            <w:tcW w:w="1560" w:type="dxa"/>
          </w:tcPr>
          <w:p w:rsidR="00866D28" w:rsidRPr="00840420" w:rsidRDefault="00941040" w:rsidP="00866D28">
            <w:pPr>
              <w:pStyle w:val="ListParagraph"/>
              <w:tabs>
                <w:tab w:val="left" w:pos="567"/>
                <w:tab w:val="left" w:pos="1134"/>
              </w:tabs>
              <w:ind w:left="0"/>
              <w:jc w:val="center"/>
              <w:rPr>
                <w:rFonts w:ascii="Arial" w:eastAsia="Calibri" w:hAnsi="Arial" w:cs="Arial"/>
                <w:b/>
                <w:sz w:val="24"/>
                <w:szCs w:val="24"/>
              </w:rPr>
            </w:pPr>
            <w:r w:rsidRPr="00840420">
              <w:rPr>
                <w:rFonts w:ascii="Arial" w:eastAsia="Calibri" w:hAnsi="Arial" w:cs="Arial"/>
                <w:b/>
                <w:sz w:val="24"/>
                <w:szCs w:val="24"/>
              </w:rPr>
              <w:t>2018/19</w:t>
            </w:r>
          </w:p>
        </w:tc>
        <w:tc>
          <w:tcPr>
            <w:tcW w:w="1417" w:type="dxa"/>
          </w:tcPr>
          <w:p w:rsidR="00866D28" w:rsidRPr="00840420" w:rsidRDefault="00941040" w:rsidP="00866D28">
            <w:pPr>
              <w:pStyle w:val="ListParagraph"/>
              <w:tabs>
                <w:tab w:val="left" w:pos="567"/>
                <w:tab w:val="left" w:pos="1134"/>
              </w:tabs>
              <w:ind w:left="0"/>
              <w:jc w:val="center"/>
              <w:rPr>
                <w:rFonts w:ascii="Arial" w:eastAsia="Calibri" w:hAnsi="Arial" w:cs="Arial"/>
                <w:b/>
                <w:sz w:val="24"/>
                <w:szCs w:val="24"/>
              </w:rPr>
            </w:pPr>
            <w:r w:rsidRPr="00840420">
              <w:rPr>
                <w:rFonts w:ascii="Arial" w:eastAsia="Calibri" w:hAnsi="Arial" w:cs="Arial"/>
                <w:b/>
                <w:sz w:val="24"/>
                <w:szCs w:val="24"/>
              </w:rPr>
              <w:t>2019/20</w:t>
            </w:r>
          </w:p>
        </w:tc>
        <w:tc>
          <w:tcPr>
            <w:tcW w:w="1508" w:type="dxa"/>
          </w:tcPr>
          <w:p w:rsidR="00866D28" w:rsidRPr="00840420" w:rsidRDefault="00941040" w:rsidP="00866D28">
            <w:pPr>
              <w:pStyle w:val="ListParagraph"/>
              <w:tabs>
                <w:tab w:val="left" w:pos="567"/>
                <w:tab w:val="left" w:pos="1134"/>
              </w:tabs>
              <w:ind w:left="0"/>
              <w:jc w:val="center"/>
              <w:rPr>
                <w:rFonts w:ascii="Arial" w:eastAsia="Calibri" w:hAnsi="Arial" w:cs="Arial"/>
                <w:b/>
                <w:sz w:val="24"/>
                <w:szCs w:val="24"/>
              </w:rPr>
            </w:pPr>
            <w:r w:rsidRPr="00840420">
              <w:rPr>
                <w:rFonts w:ascii="Arial" w:eastAsia="Calibri" w:hAnsi="Arial" w:cs="Arial"/>
                <w:b/>
                <w:sz w:val="24"/>
                <w:szCs w:val="24"/>
              </w:rPr>
              <w:t>2020/21</w:t>
            </w:r>
          </w:p>
        </w:tc>
      </w:tr>
      <w:tr w:rsidR="00F37D77" w:rsidTr="00EE3A9B">
        <w:tc>
          <w:tcPr>
            <w:tcW w:w="3964" w:type="dxa"/>
            <w:tcBorders>
              <w:bottom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567" w:type="dxa"/>
          </w:tcPr>
          <w:p w:rsid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bottom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p>
        </w:tc>
        <w:tc>
          <w:tcPr>
            <w:tcW w:w="1417" w:type="dxa"/>
            <w:tcBorders>
              <w:bottom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p>
        </w:tc>
        <w:tc>
          <w:tcPr>
            <w:tcW w:w="1508" w:type="dxa"/>
            <w:tcBorders>
              <w:bottom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p>
        </w:tc>
      </w:tr>
      <w:tr w:rsidR="00F37D77" w:rsidTr="00EE3A9B">
        <w:tc>
          <w:tcPr>
            <w:tcW w:w="3964" w:type="dxa"/>
            <w:tcBorders>
              <w:top w:val="single" w:sz="4" w:space="0" w:color="auto"/>
              <w:left w:val="single" w:sz="4" w:space="0" w:color="auto"/>
              <w:bottom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r>
              <w:rPr>
                <w:rFonts w:ascii="Arial" w:eastAsia="Calibri" w:hAnsi="Arial" w:cs="Arial"/>
                <w:sz w:val="24"/>
                <w:szCs w:val="24"/>
              </w:rPr>
              <w:t>Schools(exc DFC)</w:t>
            </w:r>
          </w:p>
        </w:tc>
        <w:tc>
          <w:tcPr>
            <w:tcW w:w="567" w:type="dxa"/>
            <w:tcBorders>
              <w:left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21.194</w:t>
            </w:r>
          </w:p>
        </w:tc>
        <w:tc>
          <w:tcPr>
            <w:tcW w:w="1417"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17.741</w:t>
            </w:r>
          </w:p>
        </w:tc>
        <w:tc>
          <w:tcPr>
            <w:tcW w:w="1508"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18.378</w:t>
            </w:r>
          </w:p>
        </w:tc>
      </w:tr>
      <w:tr w:rsidR="00F37D77" w:rsidTr="00EE3A9B">
        <w:tc>
          <w:tcPr>
            <w:tcW w:w="3964" w:type="dxa"/>
            <w:tcBorders>
              <w:top w:val="single" w:sz="4" w:space="0" w:color="auto"/>
              <w:left w:val="single" w:sz="4" w:space="0" w:color="auto"/>
              <w:bottom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r>
              <w:rPr>
                <w:rFonts w:ascii="Arial" w:eastAsia="Calibri" w:hAnsi="Arial" w:cs="Arial"/>
                <w:sz w:val="24"/>
                <w:szCs w:val="24"/>
              </w:rPr>
              <w:t>Schools DFC</w:t>
            </w:r>
          </w:p>
        </w:tc>
        <w:tc>
          <w:tcPr>
            <w:tcW w:w="567" w:type="dxa"/>
            <w:tcBorders>
              <w:left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2.767</w:t>
            </w:r>
          </w:p>
        </w:tc>
        <w:tc>
          <w:tcPr>
            <w:tcW w:w="1417"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2.500</w:t>
            </w:r>
          </w:p>
        </w:tc>
        <w:tc>
          <w:tcPr>
            <w:tcW w:w="1508"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2.500</w:t>
            </w:r>
          </w:p>
        </w:tc>
      </w:tr>
      <w:tr w:rsidR="00F37D77" w:rsidTr="00EE3A9B">
        <w:tc>
          <w:tcPr>
            <w:tcW w:w="3964" w:type="dxa"/>
            <w:tcBorders>
              <w:top w:val="single" w:sz="4" w:space="0" w:color="auto"/>
              <w:left w:val="single" w:sz="4" w:space="0" w:color="auto"/>
              <w:bottom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r>
              <w:rPr>
                <w:rFonts w:ascii="Arial" w:eastAsia="Calibri" w:hAnsi="Arial" w:cs="Arial"/>
                <w:sz w:val="24"/>
                <w:szCs w:val="24"/>
              </w:rPr>
              <w:t>Children and Young People</w:t>
            </w:r>
          </w:p>
        </w:tc>
        <w:tc>
          <w:tcPr>
            <w:tcW w:w="567" w:type="dxa"/>
            <w:tcBorders>
              <w:left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0.657</w:t>
            </w:r>
          </w:p>
        </w:tc>
        <w:tc>
          <w:tcPr>
            <w:tcW w:w="1417"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0.789</w:t>
            </w:r>
          </w:p>
        </w:tc>
        <w:tc>
          <w:tcPr>
            <w:tcW w:w="1508"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4.651</w:t>
            </w:r>
          </w:p>
        </w:tc>
      </w:tr>
      <w:tr w:rsidR="00F37D77" w:rsidTr="00EE3A9B">
        <w:tc>
          <w:tcPr>
            <w:tcW w:w="3964" w:type="dxa"/>
            <w:tcBorders>
              <w:top w:val="single" w:sz="4" w:space="0" w:color="auto"/>
              <w:left w:val="single" w:sz="4" w:space="0" w:color="auto"/>
              <w:bottom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r>
              <w:rPr>
                <w:rFonts w:ascii="Arial" w:eastAsia="Calibri" w:hAnsi="Arial" w:cs="Arial"/>
                <w:sz w:val="24"/>
                <w:szCs w:val="24"/>
              </w:rPr>
              <w:t>Highways</w:t>
            </w:r>
          </w:p>
        </w:tc>
        <w:tc>
          <w:tcPr>
            <w:tcW w:w="567" w:type="dxa"/>
            <w:tcBorders>
              <w:left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45.984</w:t>
            </w:r>
          </w:p>
        </w:tc>
        <w:tc>
          <w:tcPr>
            <w:tcW w:w="1417"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13.854</w:t>
            </w:r>
          </w:p>
        </w:tc>
        <w:tc>
          <w:tcPr>
            <w:tcW w:w="1508"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6.181</w:t>
            </w:r>
          </w:p>
        </w:tc>
      </w:tr>
      <w:tr w:rsidR="00F37D77" w:rsidTr="00EE3A9B">
        <w:tc>
          <w:tcPr>
            <w:tcW w:w="3964" w:type="dxa"/>
            <w:tcBorders>
              <w:top w:val="single" w:sz="4" w:space="0" w:color="auto"/>
              <w:left w:val="single" w:sz="4" w:space="0" w:color="auto"/>
              <w:bottom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r>
              <w:rPr>
                <w:rFonts w:ascii="Arial" w:eastAsia="Calibri" w:hAnsi="Arial" w:cs="Arial"/>
                <w:sz w:val="24"/>
                <w:szCs w:val="24"/>
              </w:rPr>
              <w:t>Transport</w:t>
            </w:r>
          </w:p>
        </w:tc>
        <w:tc>
          <w:tcPr>
            <w:tcW w:w="567" w:type="dxa"/>
            <w:tcBorders>
              <w:left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13.912</w:t>
            </w:r>
          </w:p>
        </w:tc>
        <w:tc>
          <w:tcPr>
            <w:tcW w:w="1417"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19.638</w:t>
            </w:r>
          </w:p>
        </w:tc>
        <w:tc>
          <w:tcPr>
            <w:tcW w:w="1508"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0.840</w:t>
            </w:r>
          </w:p>
        </w:tc>
      </w:tr>
      <w:tr w:rsidR="00F37D77" w:rsidTr="00EE3A9B">
        <w:tc>
          <w:tcPr>
            <w:tcW w:w="3964" w:type="dxa"/>
            <w:tcBorders>
              <w:top w:val="single" w:sz="4" w:space="0" w:color="auto"/>
              <w:left w:val="single" w:sz="4" w:space="0" w:color="auto"/>
              <w:bottom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r>
              <w:rPr>
                <w:rFonts w:ascii="Arial" w:eastAsia="Calibri" w:hAnsi="Arial" w:cs="Arial"/>
                <w:sz w:val="24"/>
                <w:szCs w:val="24"/>
              </w:rPr>
              <w:t>Externally funded</w:t>
            </w:r>
          </w:p>
        </w:tc>
        <w:tc>
          <w:tcPr>
            <w:tcW w:w="567" w:type="dxa"/>
            <w:tcBorders>
              <w:left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0.600</w:t>
            </w:r>
          </w:p>
        </w:tc>
        <w:tc>
          <w:tcPr>
            <w:tcW w:w="1417"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p>
        </w:tc>
        <w:tc>
          <w:tcPr>
            <w:tcW w:w="1508"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p>
        </w:tc>
      </w:tr>
      <w:tr w:rsidR="00F37D77" w:rsidTr="00EE3A9B">
        <w:tc>
          <w:tcPr>
            <w:tcW w:w="3964" w:type="dxa"/>
            <w:tcBorders>
              <w:top w:val="single" w:sz="4" w:space="0" w:color="auto"/>
              <w:left w:val="single" w:sz="4" w:space="0" w:color="auto"/>
              <w:bottom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r>
              <w:rPr>
                <w:rFonts w:ascii="Arial" w:eastAsia="Calibri" w:hAnsi="Arial" w:cs="Arial"/>
                <w:sz w:val="24"/>
                <w:szCs w:val="24"/>
              </w:rPr>
              <w:t>Waste and Other</w:t>
            </w:r>
          </w:p>
        </w:tc>
        <w:tc>
          <w:tcPr>
            <w:tcW w:w="567" w:type="dxa"/>
            <w:tcBorders>
              <w:left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0.677</w:t>
            </w:r>
          </w:p>
        </w:tc>
        <w:tc>
          <w:tcPr>
            <w:tcW w:w="1417"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0.100</w:t>
            </w:r>
          </w:p>
        </w:tc>
        <w:tc>
          <w:tcPr>
            <w:tcW w:w="1508"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p>
        </w:tc>
      </w:tr>
      <w:tr w:rsidR="00F37D77" w:rsidTr="00EE3A9B">
        <w:tc>
          <w:tcPr>
            <w:tcW w:w="3964" w:type="dxa"/>
            <w:tcBorders>
              <w:top w:val="single" w:sz="4" w:space="0" w:color="auto"/>
              <w:left w:val="single" w:sz="4" w:space="0" w:color="auto"/>
              <w:bottom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r>
              <w:rPr>
                <w:rFonts w:ascii="Arial" w:eastAsia="Calibri" w:hAnsi="Arial" w:cs="Arial"/>
                <w:sz w:val="24"/>
                <w:szCs w:val="24"/>
              </w:rPr>
              <w:t>Adults Social Care</w:t>
            </w:r>
          </w:p>
        </w:tc>
        <w:tc>
          <w:tcPr>
            <w:tcW w:w="567" w:type="dxa"/>
            <w:tcBorders>
              <w:left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13.687</w:t>
            </w:r>
          </w:p>
        </w:tc>
        <w:tc>
          <w:tcPr>
            <w:tcW w:w="1417"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7.808</w:t>
            </w:r>
          </w:p>
        </w:tc>
        <w:tc>
          <w:tcPr>
            <w:tcW w:w="1508"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6.061</w:t>
            </w:r>
          </w:p>
        </w:tc>
      </w:tr>
      <w:tr w:rsidR="00F37D77" w:rsidTr="00EE3A9B">
        <w:tc>
          <w:tcPr>
            <w:tcW w:w="3964" w:type="dxa"/>
            <w:tcBorders>
              <w:top w:val="single" w:sz="4" w:space="0" w:color="auto"/>
              <w:left w:val="single" w:sz="4" w:space="0" w:color="auto"/>
              <w:bottom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r>
              <w:rPr>
                <w:rFonts w:ascii="Arial" w:eastAsia="Calibri" w:hAnsi="Arial" w:cs="Arial"/>
                <w:sz w:val="24"/>
                <w:szCs w:val="24"/>
              </w:rPr>
              <w:t>Corporate</w:t>
            </w:r>
          </w:p>
        </w:tc>
        <w:tc>
          <w:tcPr>
            <w:tcW w:w="567" w:type="dxa"/>
            <w:tcBorders>
              <w:left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8.184</w:t>
            </w:r>
          </w:p>
        </w:tc>
        <w:tc>
          <w:tcPr>
            <w:tcW w:w="1417"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27.403</w:t>
            </w:r>
          </w:p>
        </w:tc>
        <w:tc>
          <w:tcPr>
            <w:tcW w:w="1508"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20.438</w:t>
            </w:r>
          </w:p>
        </w:tc>
      </w:tr>
      <w:tr w:rsidR="00F37D77" w:rsidTr="00D73342">
        <w:tc>
          <w:tcPr>
            <w:tcW w:w="3964" w:type="dxa"/>
            <w:tcBorders>
              <w:top w:val="single" w:sz="4" w:space="0" w:color="auto"/>
              <w:left w:val="single" w:sz="4" w:space="0" w:color="auto"/>
              <w:bottom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r>
              <w:rPr>
                <w:rFonts w:ascii="Arial" w:eastAsia="Calibri" w:hAnsi="Arial" w:cs="Arial"/>
                <w:sz w:val="24"/>
                <w:szCs w:val="24"/>
              </w:rPr>
              <w:t>Vehicle</w:t>
            </w:r>
          </w:p>
        </w:tc>
        <w:tc>
          <w:tcPr>
            <w:tcW w:w="567" w:type="dxa"/>
            <w:tcBorders>
              <w:left w:val="single" w:sz="4" w:space="0" w:color="auto"/>
              <w:right w:val="single" w:sz="4" w:space="0" w:color="auto"/>
            </w:tcBorders>
          </w:tcPr>
          <w:p w:rsid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3.720</w:t>
            </w:r>
          </w:p>
        </w:tc>
        <w:tc>
          <w:tcPr>
            <w:tcW w:w="1417"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p>
        </w:tc>
        <w:tc>
          <w:tcPr>
            <w:tcW w:w="1508" w:type="dxa"/>
            <w:tcBorders>
              <w:top w:val="single" w:sz="4" w:space="0" w:color="auto"/>
              <w:left w:val="single" w:sz="4" w:space="0" w:color="auto"/>
              <w:bottom w:val="single" w:sz="4" w:space="0" w:color="auto"/>
              <w:right w:val="single" w:sz="4" w:space="0" w:color="auto"/>
            </w:tcBorders>
          </w:tcPr>
          <w:p w:rsid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p>
        </w:tc>
      </w:tr>
      <w:tr w:rsidR="00F37D77" w:rsidTr="00D73342">
        <w:tc>
          <w:tcPr>
            <w:tcW w:w="3964" w:type="dxa"/>
            <w:tcBorders>
              <w:top w:val="single" w:sz="4" w:space="0" w:color="auto"/>
              <w:left w:val="single" w:sz="4" w:space="0" w:color="auto"/>
              <w:bottom w:val="single" w:sz="4" w:space="0" w:color="auto"/>
              <w:right w:val="single" w:sz="4" w:space="0" w:color="auto"/>
            </w:tcBorders>
          </w:tcPr>
          <w:p w:rsidR="00866D28" w:rsidRPr="00866D28" w:rsidRDefault="00941040" w:rsidP="00D51C25">
            <w:pPr>
              <w:pStyle w:val="ListParagraph"/>
              <w:tabs>
                <w:tab w:val="left" w:pos="567"/>
                <w:tab w:val="left" w:pos="1134"/>
              </w:tabs>
              <w:ind w:left="0"/>
              <w:jc w:val="both"/>
              <w:rPr>
                <w:rFonts w:ascii="Arial" w:eastAsia="Calibri" w:hAnsi="Arial" w:cs="Arial"/>
                <w:b/>
                <w:sz w:val="24"/>
                <w:szCs w:val="24"/>
              </w:rPr>
            </w:pPr>
            <w:r>
              <w:rPr>
                <w:rFonts w:ascii="Arial" w:eastAsia="Calibri" w:hAnsi="Arial" w:cs="Arial"/>
                <w:b/>
                <w:sz w:val="24"/>
                <w:szCs w:val="24"/>
              </w:rPr>
              <w:t>Totals</w:t>
            </w:r>
          </w:p>
        </w:tc>
        <w:tc>
          <w:tcPr>
            <w:tcW w:w="567" w:type="dxa"/>
            <w:tcBorders>
              <w:left w:val="single" w:sz="4" w:space="0" w:color="auto"/>
              <w:right w:val="single" w:sz="4" w:space="0" w:color="auto"/>
            </w:tcBorders>
          </w:tcPr>
          <w:p w:rsidR="00866D28" w:rsidRPr="00866D28" w:rsidRDefault="00941040" w:rsidP="00D51C25">
            <w:pPr>
              <w:pStyle w:val="ListParagraph"/>
              <w:tabs>
                <w:tab w:val="left" w:pos="567"/>
                <w:tab w:val="left" w:pos="1134"/>
              </w:tabs>
              <w:ind w:left="0"/>
              <w:jc w:val="both"/>
              <w:rPr>
                <w:rFonts w:ascii="Arial" w:eastAsia="Calibri" w:hAnsi="Arial" w:cs="Arial"/>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866D28" w:rsidRPr="00866D28" w:rsidRDefault="00941040" w:rsidP="00840420">
            <w:pPr>
              <w:pStyle w:val="ListParagraph"/>
              <w:tabs>
                <w:tab w:val="left" w:pos="567"/>
                <w:tab w:val="left" w:pos="885"/>
                <w:tab w:val="left" w:pos="1026"/>
              </w:tabs>
              <w:ind w:left="0" w:right="318"/>
              <w:jc w:val="right"/>
              <w:rPr>
                <w:rFonts w:ascii="Arial" w:eastAsia="Calibri" w:hAnsi="Arial" w:cs="Arial"/>
                <w:b/>
                <w:sz w:val="24"/>
                <w:szCs w:val="24"/>
              </w:rPr>
            </w:pPr>
            <w:r>
              <w:rPr>
                <w:rFonts w:ascii="Arial" w:eastAsia="Calibri" w:hAnsi="Arial" w:cs="Arial"/>
                <w:b/>
                <w:sz w:val="24"/>
                <w:szCs w:val="24"/>
              </w:rPr>
              <w:t>111.382</w:t>
            </w:r>
          </w:p>
        </w:tc>
        <w:tc>
          <w:tcPr>
            <w:tcW w:w="1417" w:type="dxa"/>
            <w:tcBorders>
              <w:top w:val="single" w:sz="4" w:space="0" w:color="auto"/>
              <w:left w:val="single" w:sz="4" w:space="0" w:color="auto"/>
              <w:bottom w:val="single" w:sz="4" w:space="0" w:color="auto"/>
              <w:right w:val="single" w:sz="4" w:space="0" w:color="auto"/>
            </w:tcBorders>
          </w:tcPr>
          <w:p w:rsidR="00866D28" w:rsidRPr="00866D28" w:rsidRDefault="00941040" w:rsidP="00840420">
            <w:pPr>
              <w:pStyle w:val="ListParagraph"/>
              <w:tabs>
                <w:tab w:val="left" w:pos="567"/>
                <w:tab w:val="left" w:pos="885"/>
                <w:tab w:val="left" w:pos="1026"/>
              </w:tabs>
              <w:ind w:left="0" w:right="318"/>
              <w:jc w:val="right"/>
              <w:rPr>
                <w:rFonts w:ascii="Arial" w:eastAsia="Calibri" w:hAnsi="Arial" w:cs="Arial"/>
                <w:b/>
                <w:sz w:val="24"/>
                <w:szCs w:val="24"/>
              </w:rPr>
            </w:pPr>
            <w:r>
              <w:rPr>
                <w:rFonts w:ascii="Arial" w:eastAsia="Calibri" w:hAnsi="Arial" w:cs="Arial"/>
                <w:b/>
                <w:sz w:val="24"/>
                <w:szCs w:val="24"/>
              </w:rPr>
              <w:t>89.833</w:t>
            </w:r>
          </w:p>
        </w:tc>
        <w:tc>
          <w:tcPr>
            <w:tcW w:w="1508" w:type="dxa"/>
            <w:tcBorders>
              <w:top w:val="single" w:sz="4" w:space="0" w:color="auto"/>
              <w:left w:val="single" w:sz="4" w:space="0" w:color="auto"/>
              <w:bottom w:val="single" w:sz="4" w:space="0" w:color="auto"/>
              <w:right w:val="single" w:sz="4" w:space="0" w:color="auto"/>
            </w:tcBorders>
          </w:tcPr>
          <w:p w:rsidR="00866D28" w:rsidRPr="00866D28" w:rsidRDefault="00941040" w:rsidP="00840420">
            <w:pPr>
              <w:pStyle w:val="ListParagraph"/>
              <w:tabs>
                <w:tab w:val="left" w:pos="567"/>
                <w:tab w:val="left" w:pos="885"/>
                <w:tab w:val="left" w:pos="1026"/>
              </w:tabs>
              <w:ind w:left="0" w:right="318"/>
              <w:jc w:val="right"/>
              <w:rPr>
                <w:rFonts w:ascii="Arial" w:eastAsia="Calibri" w:hAnsi="Arial" w:cs="Arial"/>
                <w:b/>
                <w:sz w:val="24"/>
                <w:szCs w:val="24"/>
              </w:rPr>
            </w:pPr>
            <w:r>
              <w:rPr>
                <w:rFonts w:ascii="Arial" w:eastAsia="Calibri" w:hAnsi="Arial" w:cs="Arial"/>
                <w:b/>
                <w:sz w:val="24"/>
                <w:szCs w:val="24"/>
              </w:rPr>
              <w:t>59.050</w:t>
            </w:r>
          </w:p>
        </w:tc>
      </w:tr>
      <w:tr w:rsidR="00F37D77" w:rsidTr="00D73342">
        <w:tc>
          <w:tcPr>
            <w:tcW w:w="3964" w:type="dxa"/>
            <w:tcBorders>
              <w:top w:val="single" w:sz="4" w:space="0" w:color="auto"/>
            </w:tcBorders>
          </w:tcPr>
          <w:p w:rsidR="00D73342" w:rsidRDefault="00941040" w:rsidP="00D51C25">
            <w:pPr>
              <w:pStyle w:val="ListParagraph"/>
              <w:tabs>
                <w:tab w:val="left" w:pos="567"/>
                <w:tab w:val="left" w:pos="1134"/>
              </w:tabs>
              <w:ind w:left="0"/>
              <w:jc w:val="both"/>
              <w:rPr>
                <w:rFonts w:ascii="Arial" w:eastAsia="Calibri" w:hAnsi="Arial" w:cs="Arial"/>
                <w:b/>
                <w:sz w:val="24"/>
                <w:szCs w:val="24"/>
              </w:rPr>
            </w:pPr>
          </w:p>
        </w:tc>
        <w:tc>
          <w:tcPr>
            <w:tcW w:w="567" w:type="dxa"/>
          </w:tcPr>
          <w:p w:rsidR="00D73342" w:rsidRPr="00866D28" w:rsidRDefault="00941040" w:rsidP="00D51C25">
            <w:pPr>
              <w:pStyle w:val="ListParagraph"/>
              <w:tabs>
                <w:tab w:val="left" w:pos="567"/>
                <w:tab w:val="left" w:pos="1134"/>
              </w:tabs>
              <w:ind w:left="0"/>
              <w:jc w:val="both"/>
              <w:rPr>
                <w:rFonts w:ascii="Arial" w:eastAsia="Calibri" w:hAnsi="Arial" w:cs="Arial"/>
                <w:b/>
                <w:sz w:val="24"/>
                <w:szCs w:val="24"/>
              </w:rPr>
            </w:pPr>
          </w:p>
        </w:tc>
        <w:tc>
          <w:tcPr>
            <w:tcW w:w="1560" w:type="dxa"/>
            <w:tcBorders>
              <w:top w:val="single" w:sz="4" w:space="0" w:color="auto"/>
            </w:tcBorders>
          </w:tcPr>
          <w:p w:rsidR="00D73342" w:rsidRDefault="00941040" w:rsidP="00840420">
            <w:pPr>
              <w:pStyle w:val="ListParagraph"/>
              <w:tabs>
                <w:tab w:val="left" w:pos="567"/>
                <w:tab w:val="left" w:pos="885"/>
                <w:tab w:val="left" w:pos="1026"/>
              </w:tabs>
              <w:ind w:left="0" w:right="318"/>
              <w:jc w:val="right"/>
              <w:rPr>
                <w:rFonts w:ascii="Arial" w:eastAsia="Calibri" w:hAnsi="Arial" w:cs="Arial"/>
                <w:b/>
                <w:sz w:val="24"/>
                <w:szCs w:val="24"/>
              </w:rPr>
            </w:pPr>
          </w:p>
        </w:tc>
        <w:tc>
          <w:tcPr>
            <w:tcW w:w="1417" w:type="dxa"/>
            <w:tcBorders>
              <w:top w:val="single" w:sz="4" w:space="0" w:color="auto"/>
            </w:tcBorders>
          </w:tcPr>
          <w:p w:rsidR="00D73342" w:rsidRDefault="00941040" w:rsidP="00840420">
            <w:pPr>
              <w:pStyle w:val="ListParagraph"/>
              <w:tabs>
                <w:tab w:val="left" w:pos="567"/>
                <w:tab w:val="left" w:pos="885"/>
                <w:tab w:val="left" w:pos="1026"/>
              </w:tabs>
              <w:ind w:left="0" w:right="318"/>
              <w:jc w:val="right"/>
              <w:rPr>
                <w:rFonts w:ascii="Arial" w:eastAsia="Calibri" w:hAnsi="Arial" w:cs="Arial"/>
                <w:b/>
                <w:sz w:val="24"/>
                <w:szCs w:val="24"/>
              </w:rPr>
            </w:pPr>
          </w:p>
        </w:tc>
        <w:tc>
          <w:tcPr>
            <w:tcW w:w="1508" w:type="dxa"/>
            <w:tcBorders>
              <w:top w:val="single" w:sz="4" w:space="0" w:color="auto"/>
            </w:tcBorders>
          </w:tcPr>
          <w:p w:rsidR="00D73342" w:rsidRDefault="00941040" w:rsidP="00840420">
            <w:pPr>
              <w:pStyle w:val="ListParagraph"/>
              <w:tabs>
                <w:tab w:val="left" w:pos="567"/>
                <w:tab w:val="left" w:pos="885"/>
                <w:tab w:val="left" w:pos="1026"/>
              </w:tabs>
              <w:ind w:left="0" w:right="318"/>
              <w:jc w:val="right"/>
              <w:rPr>
                <w:rFonts w:ascii="Arial" w:eastAsia="Calibri" w:hAnsi="Arial" w:cs="Arial"/>
                <w:b/>
                <w:sz w:val="24"/>
                <w:szCs w:val="24"/>
              </w:rPr>
            </w:pPr>
          </w:p>
        </w:tc>
      </w:tr>
      <w:tr w:rsidR="00F37D77" w:rsidTr="00D73342">
        <w:tc>
          <w:tcPr>
            <w:tcW w:w="3964" w:type="dxa"/>
          </w:tcPr>
          <w:p w:rsidR="00866D28" w:rsidRPr="00840420" w:rsidRDefault="00941040" w:rsidP="00D51C25">
            <w:pPr>
              <w:pStyle w:val="ListParagraph"/>
              <w:tabs>
                <w:tab w:val="left" w:pos="567"/>
                <w:tab w:val="left" w:pos="1134"/>
              </w:tabs>
              <w:ind w:left="0"/>
              <w:jc w:val="both"/>
              <w:rPr>
                <w:rFonts w:ascii="Arial" w:eastAsia="Calibri" w:hAnsi="Arial" w:cs="Arial"/>
                <w:b/>
                <w:sz w:val="24"/>
                <w:szCs w:val="24"/>
              </w:rPr>
            </w:pPr>
            <w:r>
              <w:rPr>
                <w:rFonts w:ascii="Arial" w:eastAsia="Calibri" w:hAnsi="Arial" w:cs="Arial"/>
                <w:b/>
                <w:sz w:val="24"/>
                <w:szCs w:val="24"/>
              </w:rPr>
              <w:t>Financed by</w:t>
            </w:r>
          </w:p>
        </w:tc>
        <w:tc>
          <w:tcPr>
            <w:tcW w:w="567" w:type="dxa"/>
          </w:tcPr>
          <w:p w:rsidR="00866D28" w:rsidRP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bottom w:val="single" w:sz="4" w:space="0" w:color="auto"/>
            </w:tcBorders>
          </w:tcPr>
          <w:p w:rsidR="00866D28" w:rsidRP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p>
        </w:tc>
        <w:tc>
          <w:tcPr>
            <w:tcW w:w="1417" w:type="dxa"/>
            <w:tcBorders>
              <w:bottom w:val="single" w:sz="4" w:space="0" w:color="auto"/>
            </w:tcBorders>
          </w:tcPr>
          <w:p w:rsidR="00866D28" w:rsidRP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p>
        </w:tc>
        <w:tc>
          <w:tcPr>
            <w:tcW w:w="1508" w:type="dxa"/>
            <w:tcBorders>
              <w:bottom w:val="single" w:sz="4" w:space="0" w:color="auto"/>
            </w:tcBorders>
          </w:tcPr>
          <w:p w:rsidR="00866D28" w:rsidRP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p>
        </w:tc>
      </w:tr>
      <w:tr w:rsidR="00F37D77" w:rsidTr="00EE3A9B">
        <w:tc>
          <w:tcPr>
            <w:tcW w:w="3964" w:type="dxa"/>
          </w:tcPr>
          <w:p w:rsidR="00866D28" w:rsidRPr="00866D28" w:rsidRDefault="00941040" w:rsidP="00D51C25">
            <w:pPr>
              <w:pStyle w:val="ListParagraph"/>
              <w:tabs>
                <w:tab w:val="left" w:pos="567"/>
                <w:tab w:val="left" w:pos="1134"/>
              </w:tabs>
              <w:ind w:left="0"/>
              <w:jc w:val="both"/>
              <w:rPr>
                <w:rFonts w:ascii="Arial" w:eastAsia="Calibri" w:hAnsi="Arial" w:cs="Arial"/>
                <w:sz w:val="24"/>
                <w:szCs w:val="24"/>
              </w:rPr>
            </w:pPr>
            <w:r>
              <w:rPr>
                <w:rFonts w:ascii="Arial" w:eastAsia="Calibri" w:hAnsi="Arial" w:cs="Arial"/>
                <w:sz w:val="24"/>
                <w:szCs w:val="24"/>
              </w:rPr>
              <w:t>Borrowing</w:t>
            </w:r>
          </w:p>
        </w:tc>
        <w:tc>
          <w:tcPr>
            <w:tcW w:w="567" w:type="dxa"/>
            <w:tcBorders>
              <w:right w:val="single" w:sz="4" w:space="0" w:color="auto"/>
            </w:tcBorders>
          </w:tcPr>
          <w:p w:rsidR="00866D28" w:rsidRP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66D28" w:rsidRP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34.532</w:t>
            </w:r>
          </w:p>
        </w:tc>
        <w:tc>
          <w:tcPr>
            <w:tcW w:w="1417" w:type="dxa"/>
            <w:tcBorders>
              <w:top w:val="single" w:sz="4" w:space="0" w:color="auto"/>
              <w:left w:val="single" w:sz="4" w:space="0" w:color="auto"/>
              <w:bottom w:val="single" w:sz="4" w:space="0" w:color="auto"/>
              <w:right w:val="single" w:sz="4" w:space="0" w:color="auto"/>
            </w:tcBorders>
          </w:tcPr>
          <w:p w:rsidR="00866D28" w:rsidRP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59.193</w:t>
            </w:r>
          </w:p>
        </w:tc>
        <w:tc>
          <w:tcPr>
            <w:tcW w:w="1508" w:type="dxa"/>
            <w:tcBorders>
              <w:top w:val="single" w:sz="4" w:space="0" w:color="auto"/>
              <w:left w:val="single" w:sz="4" w:space="0" w:color="auto"/>
              <w:bottom w:val="single" w:sz="4" w:space="0" w:color="auto"/>
              <w:right w:val="single" w:sz="4" w:space="0" w:color="auto"/>
            </w:tcBorders>
          </w:tcPr>
          <w:p w:rsidR="00866D28" w:rsidRP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35.445</w:t>
            </w:r>
          </w:p>
        </w:tc>
      </w:tr>
      <w:tr w:rsidR="00F37D77" w:rsidTr="00EE3A9B">
        <w:tc>
          <w:tcPr>
            <w:tcW w:w="3964" w:type="dxa"/>
          </w:tcPr>
          <w:p w:rsidR="00840420" w:rsidRPr="00866D28" w:rsidRDefault="00941040" w:rsidP="00D51C25">
            <w:pPr>
              <w:pStyle w:val="ListParagraph"/>
              <w:tabs>
                <w:tab w:val="left" w:pos="567"/>
                <w:tab w:val="left" w:pos="1134"/>
              </w:tabs>
              <w:ind w:left="0"/>
              <w:jc w:val="both"/>
              <w:rPr>
                <w:rFonts w:ascii="Arial" w:eastAsia="Calibri" w:hAnsi="Arial" w:cs="Arial"/>
                <w:sz w:val="24"/>
                <w:szCs w:val="24"/>
              </w:rPr>
            </w:pPr>
            <w:r>
              <w:rPr>
                <w:rFonts w:ascii="Arial" w:eastAsia="Calibri" w:hAnsi="Arial" w:cs="Arial"/>
                <w:sz w:val="24"/>
                <w:szCs w:val="24"/>
              </w:rPr>
              <w:t>Grants</w:t>
            </w:r>
          </w:p>
        </w:tc>
        <w:tc>
          <w:tcPr>
            <w:tcW w:w="567" w:type="dxa"/>
            <w:tcBorders>
              <w:right w:val="single" w:sz="4" w:space="0" w:color="auto"/>
            </w:tcBorders>
          </w:tcPr>
          <w:p w:rsidR="00840420" w:rsidRP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0420" w:rsidRP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72.191</w:t>
            </w:r>
          </w:p>
        </w:tc>
        <w:tc>
          <w:tcPr>
            <w:tcW w:w="1417" w:type="dxa"/>
            <w:tcBorders>
              <w:top w:val="single" w:sz="4" w:space="0" w:color="auto"/>
              <w:left w:val="single" w:sz="4" w:space="0" w:color="auto"/>
              <w:bottom w:val="single" w:sz="4" w:space="0" w:color="auto"/>
              <w:right w:val="single" w:sz="4" w:space="0" w:color="auto"/>
            </w:tcBorders>
          </w:tcPr>
          <w:p w:rsidR="00840420" w:rsidRP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23.963</w:t>
            </w:r>
          </w:p>
        </w:tc>
        <w:tc>
          <w:tcPr>
            <w:tcW w:w="1508" w:type="dxa"/>
            <w:tcBorders>
              <w:top w:val="single" w:sz="4" w:space="0" w:color="auto"/>
              <w:left w:val="single" w:sz="4" w:space="0" w:color="auto"/>
              <w:bottom w:val="single" w:sz="4" w:space="0" w:color="auto"/>
              <w:right w:val="single" w:sz="4" w:space="0" w:color="auto"/>
            </w:tcBorders>
          </w:tcPr>
          <w:p w:rsidR="00840420" w:rsidRPr="00866D28" w:rsidRDefault="00941040" w:rsidP="00840420">
            <w:pPr>
              <w:pStyle w:val="ListParagraph"/>
              <w:tabs>
                <w:tab w:val="left" w:pos="567"/>
                <w:tab w:val="left" w:pos="885"/>
                <w:tab w:val="left" w:pos="1026"/>
              </w:tabs>
              <w:ind w:left="0" w:right="318"/>
              <w:jc w:val="right"/>
              <w:rPr>
                <w:rFonts w:ascii="Arial" w:eastAsia="Calibri" w:hAnsi="Arial" w:cs="Arial"/>
                <w:sz w:val="24"/>
                <w:szCs w:val="24"/>
              </w:rPr>
            </w:pPr>
            <w:r>
              <w:rPr>
                <w:rFonts w:ascii="Arial" w:eastAsia="Calibri" w:hAnsi="Arial" w:cs="Arial"/>
                <w:sz w:val="24"/>
                <w:szCs w:val="24"/>
              </w:rPr>
              <w:t>23.604</w:t>
            </w:r>
          </w:p>
        </w:tc>
      </w:tr>
      <w:tr w:rsidR="00F37D77" w:rsidTr="00EE3A9B">
        <w:tc>
          <w:tcPr>
            <w:tcW w:w="3964" w:type="dxa"/>
          </w:tcPr>
          <w:p w:rsidR="00840420" w:rsidRPr="00866D28" w:rsidRDefault="00941040" w:rsidP="00D51C25">
            <w:pPr>
              <w:pStyle w:val="ListParagraph"/>
              <w:tabs>
                <w:tab w:val="left" w:pos="567"/>
                <w:tab w:val="left" w:pos="1134"/>
              </w:tabs>
              <w:ind w:left="0"/>
              <w:jc w:val="both"/>
              <w:rPr>
                <w:rFonts w:ascii="Arial" w:eastAsia="Calibri" w:hAnsi="Arial" w:cs="Arial"/>
                <w:sz w:val="24"/>
                <w:szCs w:val="24"/>
              </w:rPr>
            </w:pPr>
            <w:r>
              <w:rPr>
                <w:rFonts w:ascii="Arial" w:eastAsia="Calibri" w:hAnsi="Arial" w:cs="Arial"/>
                <w:sz w:val="24"/>
                <w:szCs w:val="24"/>
              </w:rPr>
              <w:t>Developer contributions</w:t>
            </w:r>
          </w:p>
        </w:tc>
        <w:tc>
          <w:tcPr>
            <w:tcW w:w="567" w:type="dxa"/>
            <w:tcBorders>
              <w:right w:val="single" w:sz="4" w:space="0" w:color="auto"/>
            </w:tcBorders>
          </w:tcPr>
          <w:p w:rsidR="00840420" w:rsidRP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0420" w:rsidRPr="00866D28" w:rsidRDefault="00941040" w:rsidP="00840420">
            <w:pPr>
              <w:pStyle w:val="ListParagraph"/>
              <w:tabs>
                <w:tab w:val="left" w:pos="567"/>
                <w:tab w:val="left" w:pos="1134"/>
              </w:tabs>
              <w:ind w:left="0" w:right="318"/>
              <w:jc w:val="right"/>
              <w:rPr>
                <w:rFonts w:ascii="Arial" w:eastAsia="Calibri" w:hAnsi="Arial" w:cs="Arial"/>
                <w:sz w:val="24"/>
                <w:szCs w:val="24"/>
              </w:rPr>
            </w:pPr>
            <w:r>
              <w:rPr>
                <w:rFonts w:ascii="Arial" w:eastAsia="Calibri" w:hAnsi="Arial" w:cs="Arial"/>
                <w:sz w:val="24"/>
                <w:szCs w:val="24"/>
              </w:rPr>
              <w:t>2.673</w:t>
            </w:r>
          </w:p>
        </w:tc>
        <w:tc>
          <w:tcPr>
            <w:tcW w:w="1417" w:type="dxa"/>
            <w:tcBorders>
              <w:top w:val="single" w:sz="4" w:space="0" w:color="auto"/>
              <w:left w:val="single" w:sz="4" w:space="0" w:color="auto"/>
              <w:bottom w:val="single" w:sz="4" w:space="0" w:color="auto"/>
              <w:right w:val="single" w:sz="4" w:space="0" w:color="auto"/>
            </w:tcBorders>
          </w:tcPr>
          <w:p w:rsidR="00840420" w:rsidRPr="00866D28" w:rsidRDefault="00941040" w:rsidP="00840420">
            <w:pPr>
              <w:pStyle w:val="ListParagraph"/>
              <w:tabs>
                <w:tab w:val="left" w:pos="567"/>
                <w:tab w:val="left" w:pos="1134"/>
              </w:tabs>
              <w:ind w:left="0" w:right="318"/>
              <w:jc w:val="right"/>
              <w:rPr>
                <w:rFonts w:ascii="Arial" w:eastAsia="Calibri" w:hAnsi="Arial" w:cs="Arial"/>
                <w:sz w:val="24"/>
                <w:szCs w:val="24"/>
              </w:rPr>
            </w:pPr>
            <w:r>
              <w:rPr>
                <w:rFonts w:ascii="Arial" w:eastAsia="Calibri" w:hAnsi="Arial" w:cs="Arial"/>
                <w:sz w:val="24"/>
                <w:szCs w:val="24"/>
              </w:rPr>
              <w:t>2.097</w:t>
            </w:r>
          </w:p>
        </w:tc>
        <w:tc>
          <w:tcPr>
            <w:tcW w:w="1508" w:type="dxa"/>
            <w:tcBorders>
              <w:top w:val="single" w:sz="4" w:space="0" w:color="auto"/>
              <w:left w:val="single" w:sz="4" w:space="0" w:color="auto"/>
              <w:bottom w:val="single" w:sz="4" w:space="0" w:color="auto"/>
              <w:right w:val="single" w:sz="4" w:space="0" w:color="auto"/>
            </w:tcBorders>
          </w:tcPr>
          <w:p w:rsidR="00840420" w:rsidRPr="00866D28" w:rsidRDefault="00941040" w:rsidP="00840420">
            <w:pPr>
              <w:pStyle w:val="ListParagraph"/>
              <w:tabs>
                <w:tab w:val="left" w:pos="567"/>
                <w:tab w:val="left" w:pos="1134"/>
              </w:tabs>
              <w:ind w:left="0" w:right="318"/>
              <w:jc w:val="right"/>
              <w:rPr>
                <w:rFonts w:ascii="Arial" w:eastAsia="Calibri" w:hAnsi="Arial" w:cs="Arial"/>
                <w:sz w:val="24"/>
                <w:szCs w:val="24"/>
              </w:rPr>
            </w:pPr>
            <w:r>
              <w:rPr>
                <w:rFonts w:ascii="Arial" w:eastAsia="Calibri" w:hAnsi="Arial" w:cs="Arial"/>
                <w:sz w:val="24"/>
                <w:szCs w:val="24"/>
              </w:rPr>
              <w:t>0.000</w:t>
            </w:r>
          </w:p>
        </w:tc>
      </w:tr>
      <w:tr w:rsidR="00F37D77" w:rsidTr="00EE3A9B">
        <w:tc>
          <w:tcPr>
            <w:tcW w:w="3964" w:type="dxa"/>
          </w:tcPr>
          <w:p w:rsidR="00840420" w:rsidRPr="00866D28" w:rsidRDefault="00941040" w:rsidP="00D51C25">
            <w:pPr>
              <w:pStyle w:val="ListParagraph"/>
              <w:tabs>
                <w:tab w:val="left" w:pos="567"/>
                <w:tab w:val="left" w:pos="1134"/>
              </w:tabs>
              <w:ind w:left="0"/>
              <w:jc w:val="both"/>
              <w:rPr>
                <w:rFonts w:ascii="Arial" w:eastAsia="Calibri" w:hAnsi="Arial" w:cs="Arial"/>
                <w:sz w:val="24"/>
                <w:szCs w:val="24"/>
              </w:rPr>
            </w:pPr>
            <w:r>
              <w:rPr>
                <w:rFonts w:ascii="Arial" w:eastAsia="Calibri" w:hAnsi="Arial" w:cs="Arial"/>
                <w:sz w:val="24"/>
                <w:szCs w:val="24"/>
              </w:rPr>
              <w:t>3</w:t>
            </w:r>
            <w:r w:rsidRPr="00840420">
              <w:rPr>
                <w:rFonts w:ascii="Arial" w:eastAsia="Calibri" w:hAnsi="Arial" w:cs="Arial"/>
                <w:sz w:val="24"/>
                <w:szCs w:val="24"/>
                <w:vertAlign w:val="superscript"/>
              </w:rPr>
              <w:t>rd</w:t>
            </w:r>
            <w:r>
              <w:rPr>
                <w:rFonts w:ascii="Arial" w:eastAsia="Calibri" w:hAnsi="Arial" w:cs="Arial"/>
                <w:sz w:val="24"/>
                <w:szCs w:val="24"/>
              </w:rPr>
              <w:t xml:space="preserve"> Party Contributions</w:t>
            </w:r>
          </w:p>
        </w:tc>
        <w:tc>
          <w:tcPr>
            <w:tcW w:w="567" w:type="dxa"/>
            <w:tcBorders>
              <w:right w:val="single" w:sz="4" w:space="0" w:color="auto"/>
            </w:tcBorders>
          </w:tcPr>
          <w:p w:rsidR="00840420" w:rsidRP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0420" w:rsidRPr="00866D28" w:rsidRDefault="00941040" w:rsidP="00840420">
            <w:pPr>
              <w:pStyle w:val="ListParagraph"/>
              <w:tabs>
                <w:tab w:val="left" w:pos="567"/>
                <w:tab w:val="left" w:pos="1134"/>
              </w:tabs>
              <w:ind w:left="0" w:right="318"/>
              <w:jc w:val="right"/>
              <w:rPr>
                <w:rFonts w:ascii="Arial" w:eastAsia="Calibri" w:hAnsi="Arial" w:cs="Arial"/>
                <w:sz w:val="24"/>
                <w:szCs w:val="24"/>
              </w:rPr>
            </w:pPr>
            <w:r>
              <w:rPr>
                <w:rFonts w:ascii="Arial" w:eastAsia="Calibri" w:hAnsi="Arial" w:cs="Arial"/>
                <w:sz w:val="24"/>
                <w:szCs w:val="24"/>
              </w:rPr>
              <w:t>1.987</w:t>
            </w:r>
          </w:p>
        </w:tc>
        <w:tc>
          <w:tcPr>
            <w:tcW w:w="1417" w:type="dxa"/>
            <w:tcBorders>
              <w:top w:val="single" w:sz="4" w:space="0" w:color="auto"/>
              <w:left w:val="single" w:sz="4" w:space="0" w:color="auto"/>
              <w:bottom w:val="single" w:sz="4" w:space="0" w:color="auto"/>
              <w:right w:val="single" w:sz="4" w:space="0" w:color="auto"/>
            </w:tcBorders>
          </w:tcPr>
          <w:p w:rsidR="00840420" w:rsidRPr="00866D28" w:rsidRDefault="00941040" w:rsidP="00840420">
            <w:pPr>
              <w:pStyle w:val="ListParagraph"/>
              <w:tabs>
                <w:tab w:val="left" w:pos="567"/>
                <w:tab w:val="left" w:pos="1134"/>
              </w:tabs>
              <w:ind w:left="0" w:right="318"/>
              <w:jc w:val="right"/>
              <w:rPr>
                <w:rFonts w:ascii="Arial" w:eastAsia="Calibri" w:hAnsi="Arial" w:cs="Arial"/>
                <w:sz w:val="24"/>
                <w:szCs w:val="24"/>
              </w:rPr>
            </w:pPr>
            <w:r>
              <w:rPr>
                <w:rFonts w:ascii="Arial" w:eastAsia="Calibri" w:hAnsi="Arial" w:cs="Arial"/>
                <w:sz w:val="24"/>
                <w:szCs w:val="24"/>
              </w:rPr>
              <w:t>4.580</w:t>
            </w:r>
          </w:p>
        </w:tc>
        <w:tc>
          <w:tcPr>
            <w:tcW w:w="1508" w:type="dxa"/>
            <w:tcBorders>
              <w:top w:val="single" w:sz="4" w:space="0" w:color="auto"/>
              <w:left w:val="single" w:sz="4" w:space="0" w:color="auto"/>
              <w:bottom w:val="single" w:sz="4" w:space="0" w:color="auto"/>
              <w:right w:val="single" w:sz="4" w:space="0" w:color="auto"/>
            </w:tcBorders>
          </w:tcPr>
          <w:p w:rsidR="00840420" w:rsidRPr="00866D28" w:rsidRDefault="00941040" w:rsidP="00840420">
            <w:pPr>
              <w:pStyle w:val="ListParagraph"/>
              <w:tabs>
                <w:tab w:val="left" w:pos="567"/>
                <w:tab w:val="left" w:pos="1134"/>
              </w:tabs>
              <w:ind w:left="0" w:right="318"/>
              <w:jc w:val="right"/>
              <w:rPr>
                <w:rFonts w:ascii="Arial" w:eastAsia="Calibri" w:hAnsi="Arial" w:cs="Arial"/>
                <w:sz w:val="24"/>
                <w:szCs w:val="24"/>
              </w:rPr>
            </w:pPr>
            <w:r>
              <w:rPr>
                <w:rFonts w:ascii="Arial" w:eastAsia="Calibri" w:hAnsi="Arial" w:cs="Arial"/>
                <w:sz w:val="24"/>
                <w:szCs w:val="24"/>
              </w:rPr>
              <w:t>0.000</w:t>
            </w:r>
          </w:p>
        </w:tc>
      </w:tr>
      <w:tr w:rsidR="00F37D77" w:rsidTr="00EE3A9B">
        <w:tc>
          <w:tcPr>
            <w:tcW w:w="3964" w:type="dxa"/>
          </w:tcPr>
          <w:p w:rsidR="00840420" w:rsidRDefault="00941040" w:rsidP="00D51C25">
            <w:pPr>
              <w:pStyle w:val="ListParagraph"/>
              <w:tabs>
                <w:tab w:val="left" w:pos="567"/>
                <w:tab w:val="left" w:pos="1134"/>
              </w:tabs>
              <w:ind w:left="0"/>
              <w:jc w:val="both"/>
              <w:rPr>
                <w:rFonts w:ascii="Arial" w:eastAsia="Calibri" w:hAnsi="Arial" w:cs="Arial"/>
                <w:sz w:val="24"/>
                <w:szCs w:val="24"/>
              </w:rPr>
            </w:pPr>
          </w:p>
        </w:tc>
        <w:tc>
          <w:tcPr>
            <w:tcW w:w="567" w:type="dxa"/>
            <w:tcBorders>
              <w:right w:val="single" w:sz="4" w:space="0" w:color="auto"/>
            </w:tcBorders>
          </w:tcPr>
          <w:p w:rsidR="00840420" w:rsidRP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0420" w:rsidRPr="00866D28" w:rsidRDefault="00941040" w:rsidP="00840420">
            <w:pPr>
              <w:pStyle w:val="ListParagraph"/>
              <w:tabs>
                <w:tab w:val="left" w:pos="567"/>
                <w:tab w:val="left" w:pos="1134"/>
              </w:tabs>
              <w:ind w:left="0" w:right="318"/>
              <w:jc w:val="right"/>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840420" w:rsidRPr="00866D28" w:rsidRDefault="00941040" w:rsidP="00840420">
            <w:pPr>
              <w:pStyle w:val="ListParagraph"/>
              <w:tabs>
                <w:tab w:val="left" w:pos="567"/>
                <w:tab w:val="left" w:pos="1134"/>
              </w:tabs>
              <w:ind w:left="0" w:right="318"/>
              <w:jc w:val="right"/>
              <w:rPr>
                <w:rFonts w:ascii="Arial" w:eastAsia="Calibri" w:hAnsi="Arial" w:cs="Arial"/>
                <w:sz w:val="24"/>
                <w:szCs w:val="24"/>
              </w:rPr>
            </w:pPr>
          </w:p>
        </w:tc>
        <w:tc>
          <w:tcPr>
            <w:tcW w:w="1508" w:type="dxa"/>
            <w:tcBorders>
              <w:top w:val="single" w:sz="4" w:space="0" w:color="auto"/>
              <w:left w:val="single" w:sz="4" w:space="0" w:color="auto"/>
              <w:bottom w:val="single" w:sz="4" w:space="0" w:color="auto"/>
              <w:right w:val="single" w:sz="4" w:space="0" w:color="auto"/>
            </w:tcBorders>
          </w:tcPr>
          <w:p w:rsidR="00840420" w:rsidRPr="00866D28" w:rsidRDefault="00941040" w:rsidP="00840420">
            <w:pPr>
              <w:pStyle w:val="ListParagraph"/>
              <w:tabs>
                <w:tab w:val="left" w:pos="567"/>
                <w:tab w:val="left" w:pos="1134"/>
              </w:tabs>
              <w:ind w:left="0" w:right="318"/>
              <w:jc w:val="right"/>
              <w:rPr>
                <w:rFonts w:ascii="Arial" w:eastAsia="Calibri" w:hAnsi="Arial" w:cs="Arial"/>
                <w:sz w:val="24"/>
                <w:szCs w:val="24"/>
              </w:rPr>
            </w:pPr>
          </w:p>
        </w:tc>
      </w:tr>
      <w:tr w:rsidR="00F37D77" w:rsidTr="00EE3A9B">
        <w:tc>
          <w:tcPr>
            <w:tcW w:w="3964" w:type="dxa"/>
          </w:tcPr>
          <w:p w:rsidR="00840420" w:rsidRPr="00840420" w:rsidRDefault="00941040" w:rsidP="00D51C25">
            <w:pPr>
              <w:pStyle w:val="ListParagraph"/>
              <w:tabs>
                <w:tab w:val="left" w:pos="567"/>
                <w:tab w:val="left" w:pos="1134"/>
              </w:tabs>
              <w:ind w:left="0"/>
              <w:jc w:val="both"/>
              <w:rPr>
                <w:rFonts w:ascii="Arial" w:eastAsia="Calibri" w:hAnsi="Arial" w:cs="Arial"/>
                <w:b/>
                <w:sz w:val="24"/>
                <w:szCs w:val="24"/>
              </w:rPr>
            </w:pPr>
            <w:r w:rsidRPr="00840420">
              <w:rPr>
                <w:rFonts w:ascii="Arial" w:eastAsia="Calibri" w:hAnsi="Arial" w:cs="Arial"/>
                <w:b/>
                <w:sz w:val="24"/>
                <w:szCs w:val="24"/>
              </w:rPr>
              <w:t>Total funding</w:t>
            </w:r>
          </w:p>
        </w:tc>
        <w:tc>
          <w:tcPr>
            <w:tcW w:w="567" w:type="dxa"/>
            <w:tcBorders>
              <w:right w:val="single" w:sz="4" w:space="0" w:color="auto"/>
            </w:tcBorders>
          </w:tcPr>
          <w:p w:rsidR="00840420" w:rsidRPr="00866D28" w:rsidRDefault="00941040" w:rsidP="00D51C25">
            <w:pPr>
              <w:pStyle w:val="ListParagraph"/>
              <w:tabs>
                <w:tab w:val="left" w:pos="567"/>
                <w:tab w:val="left" w:pos="1134"/>
              </w:tabs>
              <w:ind w:left="0"/>
              <w:jc w:val="both"/>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0420" w:rsidRPr="00840420" w:rsidRDefault="00941040" w:rsidP="00840420">
            <w:pPr>
              <w:pStyle w:val="ListParagraph"/>
              <w:tabs>
                <w:tab w:val="left" w:pos="567"/>
                <w:tab w:val="left" w:pos="1134"/>
              </w:tabs>
              <w:ind w:left="0" w:right="318"/>
              <w:jc w:val="right"/>
              <w:rPr>
                <w:rFonts w:ascii="Arial" w:eastAsia="Calibri" w:hAnsi="Arial" w:cs="Arial"/>
                <w:b/>
                <w:sz w:val="24"/>
                <w:szCs w:val="24"/>
              </w:rPr>
            </w:pPr>
            <w:r>
              <w:rPr>
                <w:rFonts w:ascii="Arial" w:eastAsia="Calibri" w:hAnsi="Arial" w:cs="Arial"/>
                <w:b/>
                <w:sz w:val="24"/>
                <w:szCs w:val="24"/>
              </w:rPr>
              <w:t>111.382</w:t>
            </w:r>
          </w:p>
        </w:tc>
        <w:tc>
          <w:tcPr>
            <w:tcW w:w="1417" w:type="dxa"/>
            <w:tcBorders>
              <w:top w:val="single" w:sz="4" w:space="0" w:color="auto"/>
              <w:left w:val="single" w:sz="4" w:space="0" w:color="auto"/>
              <w:bottom w:val="single" w:sz="4" w:space="0" w:color="auto"/>
              <w:right w:val="single" w:sz="4" w:space="0" w:color="auto"/>
            </w:tcBorders>
          </w:tcPr>
          <w:p w:rsidR="00840420" w:rsidRPr="00840420" w:rsidRDefault="00941040" w:rsidP="00840420">
            <w:pPr>
              <w:pStyle w:val="ListParagraph"/>
              <w:tabs>
                <w:tab w:val="left" w:pos="567"/>
                <w:tab w:val="left" w:pos="1134"/>
              </w:tabs>
              <w:ind w:left="0" w:right="318"/>
              <w:jc w:val="right"/>
              <w:rPr>
                <w:rFonts w:ascii="Arial" w:eastAsia="Calibri" w:hAnsi="Arial" w:cs="Arial"/>
                <w:b/>
                <w:sz w:val="24"/>
                <w:szCs w:val="24"/>
              </w:rPr>
            </w:pPr>
            <w:r>
              <w:rPr>
                <w:rFonts w:ascii="Arial" w:eastAsia="Calibri" w:hAnsi="Arial" w:cs="Arial"/>
                <w:b/>
                <w:sz w:val="24"/>
                <w:szCs w:val="24"/>
              </w:rPr>
              <w:t>89.833</w:t>
            </w:r>
          </w:p>
        </w:tc>
        <w:tc>
          <w:tcPr>
            <w:tcW w:w="1508" w:type="dxa"/>
            <w:tcBorders>
              <w:top w:val="single" w:sz="4" w:space="0" w:color="auto"/>
              <w:left w:val="single" w:sz="4" w:space="0" w:color="auto"/>
              <w:bottom w:val="single" w:sz="4" w:space="0" w:color="auto"/>
              <w:right w:val="single" w:sz="4" w:space="0" w:color="auto"/>
            </w:tcBorders>
          </w:tcPr>
          <w:p w:rsidR="00840420" w:rsidRPr="00840420" w:rsidRDefault="00941040" w:rsidP="00840420">
            <w:pPr>
              <w:pStyle w:val="ListParagraph"/>
              <w:tabs>
                <w:tab w:val="left" w:pos="567"/>
                <w:tab w:val="left" w:pos="1134"/>
              </w:tabs>
              <w:ind w:left="0" w:right="318"/>
              <w:jc w:val="right"/>
              <w:rPr>
                <w:rFonts w:ascii="Arial" w:eastAsia="Calibri" w:hAnsi="Arial" w:cs="Arial"/>
                <w:b/>
                <w:sz w:val="24"/>
                <w:szCs w:val="24"/>
              </w:rPr>
            </w:pPr>
            <w:r>
              <w:rPr>
                <w:rFonts w:ascii="Arial" w:eastAsia="Calibri" w:hAnsi="Arial" w:cs="Arial"/>
                <w:b/>
                <w:sz w:val="24"/>
                <w:szCs w:val="24"/>
              </w:rPr>
              <w:t>59.050</w:t>
            </w:r>
          </w:p>
        </w:tc>
      </w:tr>
    </w:tbl>
    <w:p w:rsidR="001F750F" w:rsidRPr="00D51C25" w:rsidRDefault="00941040" w:rsidP="00D51C25">
      <w:pPr>
        <w:pStyle w:val="ListParagraph"/>
        <w:tabs>
          <w:tab w:val="left" w:pos="567"/>
          <w:tab w:val="left" w:pos="1134"/>
        </w:tabs>
        <w:spacing w:after="0"/>
        <w:ind w:left="0"/>
        <w:jc w:val="both"/>
        <w:rPr>
          <w:rFonts w:ascii="Arial" w:eastAsia="Calibri" w:hAnsi="Arial" w:cs="Arial"/>
          <w:sz w:val="24"/>
          <w:szCs w:val="24"/>
        </w:rPr>
      </w:pPr>
    </w:p>
    <w:sectPr w:rsidR="001F750F" w:rsidRPr="00D51C25" w:rsidSect="00EE3A9B">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1040">
      <w:pPr>
        <w:spacing w:after="0" w:line="240" w:lineRule="auto"/>
      </w:pPr>
      <w:r>
        <w:separator/>
      </w:r>
    </w:p>
  </w:endnote>
  <w:endnote w:type="continuationSeparator" w:id="0">
    <w:p w:rsidR="00000000" w:rsidRDefault="0094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rsidR="00E568FC" w:rsidRDefault="00941040">
        <w:pPr>
          <w:pStyle w:val="Footer"/>
        </w:pPr>
        <w:r>
          <w:fldChar w:fldCharType="begin"/>
        </w:r>
        <w:r>
          <w:instrText xml:space="preserve"> PAGE   \* MERGEFORMAT </w:instrText>
        </w:r>
        <w:r>
          <w:fldChar w:fldCharType="separate"/>
        </w:r>
        <w:r>
          <w:rPr>
            <w:noProof/>
          </w:rPr>
          <w:t>2</w:t>
        </w:r>
        <w:r>
          <w:rPr>
            <w:noProof/>
          </w:rPr>
          <w:fldChar w:fldCharType="end"/>
        </w:r>
      </w:p>
    </w:sdtContent>
  </w:sdt>
  <w:p w:rsidR="00E568FC" w:rsidRDefault="00941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88405"/>
      <w:docPartObj>
        <w:docPartGallery w:val="Page Numbers (Bottom of Page)"/>
        <w:docPartUnique/>
      </w:docPartObj>
    </w:sdtPr>
    <w:sdtEndPr>
      <w:rPr>
        <w:noProof/>
      </w:rPr>
    </w:sdtEndPr>
    <w:sdtContent>
      <w:p w:rsidR="00E568FC" w:rsidRDefault="00941040" w:rsidP="000B11B2">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E568FC" w:rsidRDefault="00941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41040">
      <w:pPr>
        <w:spacing w:after="0" w:line="240" w:lineRule="auto"/>
      </w:pPr>
      <w:r>
        <w:separator/>
      </w:r>
    </w:p>
  </w:footnote>
  <w:footnote w:type="continuationSeparator" w:id="0">
    <w:p w:rsidR="00000000" w:rsidRDefault="00941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8FC" w:rsidRDefault="00941040">
    <w:pPr>
      <w:pStyle w:val="Header"/>
    </w:pPr>
    <w:sdt>
      <w:sdtPr>
        <w:id w:val="-2063089987"/>
        <w:docPartObj>
          <w:docPartGallery w:val="Page Numbers (Top of Page)"/>
          <w:docPartUnique/>
        </w:docPartObj>
      </w:sdtPr>
      <w:sdtEndPr>
        <w:rPr>
          <w:noProof/>
        </w:rPr>
      </w:sdtEndPr>
      <w:sdtContent/>
    </w:sdt>
  </w:p>
  <w:p w:rsidR="00E568FC" w:rsidRDefault="00941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8FC" w:rsidRDefault="00941040" w:rsidP="00BB77C5">
    <w:pPr>
      <w:pStyle w:val="Header"/>
      <w:tabs>
        <w:tab w:val="clear" w:pos="4513"/>
        <w:tab w:val="clear" w:pos="9026"/>
        <w:tab w:val="left" w:pos="6465"/>
      </w:tabs>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-476250</wp:posOffset>
          </wp:positionV>
          <wp:extent cx="7564755" cy="10689590"/>
          <wp:effectExtent l="0" t="0" r="0" b="0"/>
          <wp:wrapNone/>
          <wp:docPr id="1" name="Picture 1"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68964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3DA"/>
    <w:multiLevelType w:val="hybridMultilevel"/>
    <w:tmpl w:val="A36AB69C"/>
    <w:lvl w:ilvl="0" w:tplc="D2BC1062">
      <w:start w:val="1"/>
      <w:numFmt w:val="bullet"/>
      <w:lvlText w:val=""/>
      <w:lvlJc w:val="left"/>
      <w:pPr>
        <w:ind w:left="720" w:hanging="360"/>
      </w:pPr>
      <w:rPr>
        <w:rFonts w:ascii="Symbol" w:hAnsi="Symbol" w:hint="default"/>
      </w:rPr>
    </w:lvl>
    <w:lvl w:ilvl="1" w:tplc="D90C5666" w:tentative="1">
      <w:start w:val="1"/>
      <w:numFmt w:val="bullet"/>
      <w:lvlText w:val="o"/>
      <w:lvlJc w:val="left"/>
      <w:pPr>
        <w:ind w:left="1440" w:hanging="360"/>
      </w:pPr>
      <w:rPr>
        <w:rFonts w:ascii="Courier New" w:hAnsi="Courier New" w:cs="Courier New" w:hint="default"/>
      </w:rPr>
    </w:lvl>
    <w:lvl w:ilvl="2" w:tplc="EB861AC6" w:tentative="1">
      <w:start w:val="1"/>
      <w:numFmt w:val="bullet"/>
      <w:lvlText w:val=""/>
      <w:lvlJc w:val="left"/>
      <w:pPr>
        <w:ind w:left="2160" w:hanging="360"/>
      </w:pPr>
      <w:rPr>
        <w:rFonts w:ascii="Wingdings" w:hAnsi="Wingdings" w:hint="default"/>
      </w:rPr>
    </w:lvl>
    <w:lvl w:ilvl="3" w:tplc="6A301CEA" w:tentative="1">
      <w:start w:val="1"/>
      <w:numFmt w:val="bullet"/>
      <w:lvlText w:val=""/>
      <w:lvlJc w:val="left"/>
      <w:pPr>
        <w:ind w:left="2880" w:hanging="360"/>
      </w:pPr>
      <w:rPr>
        <w:rFonts w:ascii="Symbol" w:hAnsi="Symbol" w:hint="default"/>
      </w:rPr>
    </w:lvl>
    <w:lvl w:ilvl="4" w:tplc="C2769CEA" w:tentative="1">
      <w:start w:val="1"/>
      <w:numFmt w:val="bullet"/>
      <w:lvlText w:val="o"/>
      <w:lvlJc w:val="left"/>
      <w:pPr>
        <w:ind w:left="3600" w:hanging="360"/>
      </w:pPr>
      <w:rPr>
        <w:rFonts w:ascii="Courier New" w:hAnsi="Courier New" w:cs="Courier New" w:hint="default"/>
      </w:rPr>
    </w:lvl>
    <w:lvl w:ilvl="5" w:tplc="68DC1668" w:tentative="1">
      <w:start w:val="1"/>
      <w:numFmt w:val="bullet"/>
      <w:lvlText w:val=""/>
      <w:lvlJc w:val="left"/>
      <w:pPr>
        <w:ind w:left="4320" w:hanging="360"/>
      </w:pPr>
      <w:rPr>
        <w:rFonts w:ascii="Wingdings" w:hAnsi="Wingdings" w:hint="default"/>
      </w:rPr>
    </w:lvl>
    <w:lvl w:ilvl="6" w:tplc="FE443792" w:tentative="1">
      <w:start w:val="1"/>
      <w:numFmt w:val="bullet"/>
      <w:lvlText w:val=""/>
      <w:lvlJc w:val="left"/>
      <w:pPr>
        <w:ind w:left="5040" w:hanging="360"/>
      </w:pPr>
      <w:rPr>
        <w:rFonts w:ascii="Symbol" w:hAnsi="Symbol" w:hint="default"/>
      </w:rPr>
    </w:lvl>
    <w:lvl w:ilvl="7" w:tplc="341806D8" w:tentative="1">
      <w:start w:val="1"/>
      <w:numFmt w:val="bullet"/>
      <w:lvlText w:val="o"/>
      <w:lvlJc w:val="left"/>
      <w:pPr>
        <w:ind w:left="5760" w:hanging="360"/>
      </w:pPr>
      <w:rPr>
        <w:rFonts w:ascii="Courier New" w:hAnsi="Courier New" w:cs="Courier New" w:hint="default"/>
      </w:rPr>
    </w:lvl>
    <w:lvl w:ilvl="8" w:tplc="C62C3514" w:tentative="1">
      <w:start w:val="1"/>
      <w:numFmt w:val="bullet"/>
      <w:lvlText w:val=""/>
      <w:lvlJc w:val="left"/>
      <w:pPr>
        <w:ind w:left="6480" w:hanging="360"/>
      </w:pPr>
      <w:rPr>
        <w:rFonts w:ascii="Wingdings" w:hAnsi="Wingdings" w:hint="default"/>
      </w:rPr>
    </w:lvl>
  </w:abstractNum>
  <w:abstractNum w:abstractNumId="1" w15:restartNumberingAfterBreak="0">
    <w:nsid w:val="157C7238"/>
    <w:multiLevelType w:val="hybridMultilevel"/>
    <w:tmpl w:val="184C74FE"/>
    <w:lvl w:ilvl="0" w:tplc="7000515E">
      <w:start w:val="1"/>
      <w:numFmt w:val="bullet"/>
      <w:lvlText w:val=""/>
      <w:lvlJc w:val="left"/>
      <w:pPr>
        <w:ind w:left="720" w:hanging="360"/>
      </w:pPr>
      <w:rPr>
        <w:rFonts w:ascii="Symbol" w:hAnsi="Symbol" w:hint="default"/>
      </w:rPr>
    </w:lvl>
    <w:lvl w:ilvl="1" w:tplc="058E6060" w:tentative="1">
      <w:start w:val="1"/>
      <w:numFmt w:val="bullet"/>
      <w:lvlText w:val="o"/>
      <w:lvlJc w:val="left"/>
      <w:pPr>
        <w:ind w:left="1440" w:hanging="360"/>
      </w:pPr>
      <w:rPr>
        <w:rFonts w:ascii="Courier New" w:hAnsi="Courier New" w:cs="Courier New" w:hint="default"/>
      </w:rPr>
    </w:lvl>
    <w:lvl w:ilvl="2" w:tplc="DC36BE36" w:tentative="1">
      <w:start w:val="1"/>
      <w:numFmt w:val="bullet"/>
      <w:lvlText w:val=""/>
      <w:lvlJc w:val="left"/>
      <w:pPr>
        <w:ind w:left="2160" w:hanging="360"/>
      </w:pPr>
      <w:rPr>
        <w:rFonts w:ascii="Wingdings" w:hAnsi="Wingdings" w:hint="default"/>
      </w:rPr>
    </w:lvl>
    <w:lvl w:ilvl="3" w:tplc="8D9C4538" w:tentative="1">
      <w:start w:val="1"/>
      <w:numFmt w:val="bullet"/>
      <w:lvlText w:val=""/>
      <w:lvlJc w:val="left"/>
      <w:pPr>
        <w:ind w:left="2880" w:hanging="360"/>
      </w:pPr>
      <w:rPr>
        <w:rFonts w:ascii="Symbol" w:hAnsi="Symbol" w:hint="default"/>
      </w:rPr>
    </w:lvl>
    <w:lvl w:ilvl="4" w:tplc="EC4E0D2A" w:tentative="1">
      <w:start w:val="1"/>
      <w:numFmt w:val="bullet"/>
      <w:lvlText w:val="o"/>
      <w:lvlJc w:val="left"/>
      <w:pPr>
        <w:ind w:left="3600" w:hanging="360"/>
      </w:pPr>
      <w:rPr>
        <w:rFonts w:ascii="Courier New" w:hAnsi="Courier New" w:cs="Courier New" w:hint="default"/>
      </w:rPr>
    </w:lvl>
    <w:lvl w:ilvl="5" w:tplc="4D72A35E" w:tentative="1">
      <w:start w:val="1"/>
      <w:numFmt w:val="bullet"/>
      <w:lvlText w:val=""/>
      <w:lvlJc w:val="left"/>
      <w:pPr>
        <w:ind w:left="4320" w:hanging="360"/>
      </w:pPr>
      <w:rPr>
        <w:rFonts w:ascii="Wingdings" w:hAnsi="Wingdings" w:hint="default"/>
      </w:rPr>
    </w:lvl>
    <w:lvl w:ilvl="6" w:tplc="C62E75FA" w:tentative="1">
      <w:start w:val="1"/>
      <w:numFmt w:val="bullet"/>
      <w:lvlText w:val=""/>
      <w:lvlJc w:val="left"/>
      <w:pPr>
        <w:ind w:left="5040" w:hanging="360"/>
      </w:pPr>
      <w:rPr>
        <w:rFonts w:ascii="Symbol" w:hAnsi="Symbol" w:hint="default"/>
      </w:rPr>
    </w:lvl>
    <w:lvl w:ilvl="7" w:tplc="920C7814" w:tentative="1">
      <w:start w:val="1"/>
      <w:numFmt w:val="bullet"/>
      <w:lvlText w:val="o"/>
      <w:lvlJc w:val="left"/>
      <w:pPr>
        <w:ind w:left="5760" w:hanging="360"/>
      </w:pPr>
      <w:rPr>
        <w:rFonts w:ascii="Courier New" w:hAnsi="Courier New" w:cs="Courier New" w:hint="default"/>
      </w:rPr>
    </w:lvl>
    <w:lvl w:ilvl="8" w:tplc="33DAA944" w:tentative="1">
      <w:start w:val="1"/>
      <w:numFmt w:val="bullet"/>
      <w:lvlText w:val=""/>
      <w:lvlJc w:val="left"/>
      <w:pPr>
        <w:ind w:left="6480" w:hanging="360"/>
      </w:pPr>
      <w:rPr>
        <w:rFonts w:ascii="Wingdings" w:hAnsi="Wingdings" w:hint="default"/>
      </w:rPr>
    </w:lvl>
  </w:abstractNum>
  <w:abstractNum w:abstractNumId="2" w15:restartNumberingAfterBreak="0">
    <w:nsid w:val="19FC02C0"/>
    <w:multiLevelType w:val="hybridMultilevel"/>
    <w:tmpl w:val="0AE06DA4"/>
    <w:lvl w:ilvl="0" w:tplc="9C7E16E6">
      <w:start w:val="1"/>
      <w:numFmt w:val="decimal"/>
      <w:lvlText w:val="%1."/>
      <w:lvlJc w:val="left"/>
      <w:pPr>
        <w:ind w:left="360" w:hanging="360"/>
      </w:pPr>
      <w:rPr>
        <w:rFonts w:hint="default"/>
      </w:rPr>
    </w:lvl>
    <w:lvl w:ilvl="1" w:tplc="FE3248CA" w:tentative="1">
      <w:start w:val="1"/>
      <w:numFmt w:val="lowerLetter"/>
      <w:lvlText w:val="%2."/>
      <w:lvlJc w:val="left"/>
      <w:pPr>
        <w:ind w:left="1080" w:hanging="360"/>
      </w:pPr>
    </w:lvl>
    <w:lvl w:ilvl="2" w:tplc="F6663E82" w:tentative="1">
      <w:start w:val="1"/>
      <w:numFmt w:val="lowerRoman"/>
      <w:lvlText w:val="%3."/>
      <w:lvlJc w:val="right"/>
      <w:pPr>
        <w:ind w:left="1800" w:hanging="180"/>
      </w:pPr>
    </w:lvl>
    <w:lvl w:ilvl="3" w:tplc="58AAE9E4" w:tentative="1">
      <w:start w:val="1"/>
      <w:numFmt w:val="decimal"/>
      <w:lvlText w:val="%4."/>
      <w:lvlJc w:val="left"/>
      <w:pPr>
        <w:ind w:left="2520" w:hanging="360"/>
      </w:pPr>
    </w:lvl>
    <w:lvl w:ilvl="4" w:tplc="906C292C" w:tentative="1">
      <w:start w:val="1"/>
      <w:numFmt w:val="lowerLetter"/>
      <w:lvlText w:val="%5."/>
      <w:lvlJc w:val="left"/>
      <w:pPr>
        <w:ind w:left="3240" w:hanging="360"/>
      </w:pPr>
    </w:lvl>
    <w:lvl w:ilvl="5" w:tplc="DC622630" w:tentative="1">
      <w:start w:val="1"/>
      <w:numFmt w:val="lowerRoman"/>
      <w:lvlText w:val="%6."/>
      <w:lvlJc w:val="right"/>
      <w:pPr>
        <w:ind w:left="3960" w:hanging="180"/>
      </w:pPr>
    </w:lvl>
    <w:lvl w:ilvl="6" w:tplc="5A106AEC" w:tentative="1">
      <w:start w:val="1"/>
      <w:numFmt w:val="decimal"/>
      <w:lvlText w:val="%7."/>
      <w:lvlJc w:val="left"/>
      <w:pPr>
        <w:ind w:left="4680" w:hanging="360"/>
      </w:pPr>
    </w:lvl>
    <w:lvl w:ilvl="7" w:tplc="5D587C72" w:tentative="1">
      <w:start w:val="1"/>
      <w:numFmt w:val="lowerLetter"/>
      <w:lvlText w:val="%8."/>
      <w:lvlJc w:val="left"/>
      <w:pPr>
        <w:ind w:left="5400" w:hanging="360"/>
      </w:pPr>
    </w:lvl>
    <w:lvl w:ilvl="8" w:tplc="848EA8B0" w:tentative="1">
      <w:start w:val="1"/>
      <w:numFmt w:val="lowerRoman"/>
      <w:lvlText w:val="%9."/>
      <w:lvlJc w:val="right"/>
      <w:pPr>
        <w:ind w:left="6120" w:hanging="180"/>
      </w:pPr>
    </w:lvl>
  </w:abstractNum>
  <w:abstractNum w:abstractNumId="3" w15:restartNumberingAfterBreak="0">
    <w:nsid w:val="1E26420C"/>
    <w:multiLevelType w:val="hybridMultilevel"/>
    <w:tmpl w:val="27F083D0"/>
    <w:lvl w:ilvl="0" w:tplc="61069BA0">
      <w:start w:val="1"/>
      <w:numFmt w:val="bullet"/>
      <w:lvlText w:val=""/>
      <w:lvlJc w:val="left"/>
      <w:pPr>
        <w:ind w:left="720" w:hanging="360"/>
      </w:pPr>
      <w:rPr>
        <w:rFonts w:ascii="Symbol" w:hAnsi="Symbol" w:hint="default"/>
      </w:rPr>
    </w:lvl>
    <w:lvl w:ilvl="1" w:tplc="E750A3F6" w:tentative="1">
      <w:start w:val="1"/>
      <w:numFmt w:val="bullet"/>
      <w:lvlText w:val="o"/>
      <w:lvlJc w:val="left"/>
      <w:pPr>
        <w:ind w:left="1440" w:hanging="360"/>
      </w:pPr>
      <w:rPr>
        <w:rFonts w:ascii="Courier New" w:hAnsi="Courier New" w:cs="Courier New" w:hint="default"/>
      </w:rPr>
    </w:lvl>
    <w:lvl w:ilvl="2" w:tplc="90D831F8" w:tentative="1">
      <w:start w:val="1"/>
      <w:numFmt w:val="bullet"/>
      <w:lvlText w:val=""/>
      <w:lvlJc w:val="left"/>
      <w:pPr>
        <w:ind w:left="2160" w:hanging="360"/>
      </w:pPr>
      <w:rPr>
        <w:rFonts w:ascii="Wingdings" w:hAnsi="Wingdings" w:hint="default"/>
      </w:rPr>
    </w:lvl>
    <w:lvl w:ilvl="3" w:tplc="5BAC6BFE" w:tentative="1">
      <w:start w:val="1"/>
      <w:numFmt w:val="bullet"/>
      <w:lvlText w:val=""/>
      <w:lvlJc w:val="left"/>
      <w:pPr>
        <w:ind w:left="2880" w:hanging="360"/>
      </w:pPr>
      <w:rPr>
        <w:rFonts w:ascii="Symbol" w:hAnsi="Symbol" w:hint="default"/>
      </w:rPr>
    </w:lvl>
    <w:lvl w:ilvl="4" w:tplc="5EC28E64" w:tentative="1">
      <w:start w:val="1"/>
      <w:numFmt w:val="bullet"/>
      <w:lvlText w:val="o"/>
      <w:lvlJc w:val="left"/>
      <w:pPr>
        <w:ind w:left="3600" w:hanging="360"/>
      </w:pPr>
      <w:rPr>
        <w:rFonts w:ascii="Courier New" w:hAnsi="Courier New" w:cs="Courier New" w:hint="default"/>
      </w:rPr>
    </w:lvl>
    <w:lvl w:ilvl="5" w:tplc="388EF92C" w:tentative="1">
      <w:start w:val="1"/>
      <w:numFmt w:val="bullet"/>
      <w:lvlText w:val=""/>
      <w:lvlJc w:val="left"/>
      <w:pPr>
        <w:ind w:left="4320" w:hanging="360"/>
      </w:pPr>
      <w:rPr>
        <w:rFonts w:ascii="Wingdings" w:hAnsi="Wingdings" w:hint="default"/>
      </w:rPr>
    </w:lvl>
    <w:lvl w:ilvl="6" w:tplc="95ECE6FA" w:tentative="1">
      <w:start w:val="1"/>
      <w:numFmt w:val="bullet"/>
      <w:lvlText w:val=""/>
      <w:lvlJc w:val="left"/>
      <w:pPr>
        <w:ind w:left="5040" w:hanging="360"/>
      </w:pPr>
      <w:rPr>
        <w:rFonts w:ascii="Symbol" w:hAnsi="Symbol" w:hint="default"/>
      </w:rPr>
    </w:lvl>
    <w:lvl w:ilvl="7" w:tplc="9B56B584" w:tentative="1">
      <w:start w:val="1"/>
      <w:numFmt w:val="bullet"/>
      <w:lvlText w:val="o"/>
      <w:lvlJc w:val="left"/>
      <w:pPr>
        <w:ind w:left="5760" w:hanging="360"/>
      </w:pPr>
      <w:rPr>
        <w:rFonts w:ascii="Courier New" w:hAnsi="Courier New" w:cs="Courier New" w:hint="default"/>
      </w:rPr>
    </w:lvl>
    <w:lvl w:ilvl="8" w:tplc="0B52CCCA" w:tentative="1">
      <w:start w:val="1"/>
      <w:numFmt w:val="bullet"/>
      <w:lvlText w:val=""/>
      <w:lvlJc w:val="left"/>
      <w:pPr>
        <w:ind w:left="6480" w:hanging="360"/>
      </w:pPr>
      <w:rPr>
        <w:rFonts w:ascii="Wingdings" w:hAnsi="Wingdings" w:hint="default"/>
      </w:rPr>
    </w:lvl>
  </w:abstractNum>
  <w:abstractNum w:abstractNumId="4" w15:restartNumberingAfterBreak="0">
    <w:nsid w:val="2E925ED1"/>
    <w:multiLevelType w:val="hybridMultilevel"/>
    <w:tmpl w:val="98568C48"/>
    <w:lvl w:ilvl="0" w:tplc="5CBE5E12">
      <w:start w:val="1"/>
      <w:numFmt w:val="bullet"/>
      <w:lvlText w:val=""/>
      <w:lvlJc w:val="left"/>
      <w:pPr>
        <w:ind w:left="720" w:hanging="360"/>
      </w:pPr>
      <w:rPr>
        <w:rFonts w:ascii="Symbol" w:hAnsi="Symbol" w:hint="default"/>
      </w:rPr>
    </w:lvl>
    <w:lvl w:ilvl="1" w:tplc="462EAA26" w:tentative="1">
      <w:start w:val="1"/>
      <w:numFmt w:val="bullet"/>
      <w:lvlText w:val="o"/>
      <w:lvlJc w:val="left"/>
      <w:pPr>
        <w:ind w:left="1440" w:hanging="360"/>
      </w:pPr>
      <w:rPr>
        <w:rFonts w:ascii="Courier New" w:hAnsi="Courier New" w:cs="Courier New" w:hint="default"/>
      </w:rPr>
    </w:lvl>
    <w:lvl w:ilvl="2" w:tplc="F78C7F30" w:tentative="1">
      <w:start w:val="1"/>
      <w:numFmt w:val="bullet"/>
      <w:lvlText w:val=""/>
      <w:lvlJc w:val="left"/>
      <w:pPr>
        <w:ind w:left="2160" w:hanging="360"/>
      </w:pPr>
      <w:rPr>
        <w:rFonts w:ascii="Wingdings" w:hAnsi="Wingdings" w:hint="default"/>
      </w:rPr>
    </w:lvl>
    <w:lvl w:ilvl="3" w:tplc="F2D20C4A" w:tentative="1">
      <w:start w:val="1"/>
      <w:numFmt w:val="bullet"/>
      <w:lvlText w:val=""/>
      <w:lvlJc w:val="left"/>
      <w:pPr>
        <w:ind w:left="2880" w:hanging="360"/>
      </w:pPr>
      <w:rPr>
        <w:rFonts w:ascii="Symbol" w:hAnsi="Symbol" w:hint="default"/>
      </w:rPr>
    </w:lvl>
    <w:lvl w:ilvl="4" w:tplc="EF9237A0" w:tentative="1">
      <w:start w:val="1"/>
      <w:numFmt w:val="bullet"/>
      <w:lvlText w:val="o"/>
      <w:lvlJc w:val="left"/>
      <w:pPr>
        <w:ind w:left="3600" w:hanging="360"/>
      </w:pPr>
      <w:rPr>
        <w:rFonts w:ascii="Courier New" w:hAnsi="Courier New" w:cs="Courier New" w:hint="default"/>
      </w:rPr>
    </w:lvl>
    <w:lvl w:ilvl="5" w:tplc="51BE6508" w:tentative="1">
      <w:start w:val="1"/>
      <w:numFmt w:val="bullet"/>
      <w:lvlText w:val=""/>
      <w:lvlJc w:val="left"/>
      <w:pPr>
        <w:ind w:left="4320" w:hanging="360"/>
      </w:pPr>
      <w:rPr>
        <w:rFonts w:ascii="Wingdings" w:hAnsi="Wingdings" w:hint="default"/>
      </w:rPr>
    </w:lvl>
    <w:lvl w:ilvl="6" w:tplc="7EF2B176" w:tentative="1">
      <w:start w:val="1"/>
      <w:numFmt w:val="bullet"/>
      <w:lvlText w:val=""/>
      <w:lvlJc w:val="left"/>
      <w:pPr>
        <w:ind w:left="5040" w:hanging="360"/>
      </w:pPr>
      <w:rPr>
        <w:rFonts w:ascii="Symbol" w:hAnsi="Symbol" w:hint="default"/>
      </w:rPr>
    </w:lvl>
    <w:lvl w:ilvl="7" w:tplc="A14EA136" w:tentative="1">
      <w:start w:val="1"/>
      <w:numFmt w:val="bullet"/>
      <w:lvlText w:val="o"/>
      <w:lvlJc w:val="left"/>
      <w:pPr>
        <w:ind w:left="5760" w:hanging="360"/>
      </w:pPr>
      <w:rPr>
        <w:rFonts w:ascii="Courier New" w:hAnsi="Courier New" w:cs="Courier New" w:hint="default"/>
      </w:rPr>
    </w:lvl>
    <w:lvl w:ilvl="8" w:tplc="1C568EBE" w:tentative="1">
      <w:start w:val="1"/>
      <w:numFmt w:val="bullet"/>
      <w:lvlText w:val=""/>
      <w:lvlJc w:val="left"/>
      <w:pPr>
        <w:ind w:left="6480" w:hanging="360"/>
      </w:pPr>
      <w:rPr>
        <w:rFonts w:ascii="Wingdings" w:hAnsi="Wingdings" w:hint="default"/>
      </w:rPr>
    </w:lvl>
  </w:abstractNum>
  <w:abstractNum w:abstractNumId="5" w15:restartNumberingAfterBreak="0">
    <w:nsid w:val="46FC6763"/>
    <w:multiLevelType w:val="hybridMultilevel"/>
    <w:tmpl w:val="FB8E43A8"/>
    <w:lvl w:ilvl="0" w:tplc="7F265468">
      <w:start w:val="1"/>
      <w:numFmt w:val="bullet"/>
      <w:lvlText w:val=""/>
      <w:lvlJc w:val="left"/>
      <w:pPr>
        <w:ind w:left="720" w:hanging="360"/>
      </w:pPr>
      <w:rPr>
        <w:rFonts w:ascii="Symbol" w:hAnsi="Symbol" w:hint="default"/>
      </w:rPr>
    </w:lvl>
    <w:lvl w:ilvl="1" w:tplc="ADEA7CD2" w:tentative="1">
      <w:start w:val="1"/>
      <w:numFmt w:val="bullet"/>
      <w:lvlText w:val="o"/>
      <w:lvlJc w:val="left"/>
      <w:pPr>
        <w:ind w:left="1440" w:hanging="360"/>
      </w:pPr>
      <w:rPr>
        <w:rFonts w:ascii="Courier New" w:hAnsi="Courier New" w:cs="Courier New" w:hint="default"/>
      </w:rPr>
    </w:lvl>
    <w:lvl w:ilvl="2" w:tplc="29724B9C" w:tentative="1">
      <w:start w:val="1"/>
      <w:numFmt w:val="bullet"/>
      <w:lvlText w:val=""/>
      <w:lvlJc w:val="left"/>
      <w:pPr>
        <w:ind w:left="2160" w:hanging="360"/>
      </w:pPr>
      <w:rPr>
        <w:rFonts w:ascii="Wingdings" w:hAnsi="Wingdings" w:hint="default"/>
      </w:rPr>
    </w:lvl>
    <w:lvl w:ilvl="3" w:tplc="0DC49936" w:tentative="1">
      <w:start w:val="1"/>
      <w:numFmt w:val="bullet"/>
      <w:lvlText w:val=""/>
      <w:lvlJc w:val="left"/>
      <w:pPr>
        <w:ind w:left="2880" w:hanging="360"/>
      </w:pPr>
      <w:rPr>
        <w:rFonts w:ascii="Symbol" w:hAnsi="Symbol" w:hint="default"/>
      </w:rPr>
    </w:lvl>
    <w:lvl w:ilvl="4" w:tplc="404296B8" w:tentative="1">
      <w:start w:val="1"/>
      <w:numFmt w:val="bullet"/>
      <w:lvlText w:val="o"/>
      <w:lvlJc w:val="left"/>
      <w:pPr>
        <w:ind w:left="3600" w:hanging="360"/>
      </w:pPr>
      <w:rPr>
        <w:rFonts w:ascii="Courier New" w:hAnsi="Courier New" w:cs="Courier New" w:hint="default"/>
      </w:rPr>
    </w:lvl>
    <w:lvl w:ilvl="5" w:tplc="9FAE7146" w:tentative="1">
      <w:start w:val="1"/>
      <w:numFmt w:val="bullet"/>
      <w:lvlText w:val=""/>
      <w:lvlJc w:val="left"/>
      <w:pPr>
        <w:ind w:left="4320" w:hanging="360"/>
      </w:pPr>
      <w:rPr>
        <w:rFonts w:ascii="Wingdings" w:hAnsi="Wingdings" w:hint="default"/>
      </w:rPr>
    </w:lvl>
    <w:lvl w:ilvl="6" w:tplc="E5E060D4" w:tentative="1">
      <w:start w:val="1"/>
      <w:numFmt w:val="bullet"/>
      <w:lvlText w:val=""/>
      <w:lvlJc w:val="left"/>
      <w:pPr>
        <w:ind w:left="5040" w:hanging="360"/>
      </w:pPr>
      <w:rPr>
        <w:rFonts w:ascii="Symbol" w:hAnsi="Symbol" w:hint="default"/>
      </w:rPr>
    </w:lvl>
    <w:lvl w:ilvl="7" w:tplc="1540995C" w:tentative="1">
      <w:start w:val="1"/>
      <w:numFmt w:val="bullet"/>
      <w:lvlText w:val="o"/>
      <w:lvlJc w:val="left"/>
      <w:pPr>
        <w:ind w:left="5760" w:hanging="360"/>
      </w:pPr>
      <w:rPr>
        <w:rFonts w:ascii="Courier New" w:hAnsi="Courier New" w:cs="Courier New" w:hint="default"/>
      </w:rPr>
    </w:lvl>
    <w:lvl w:ilvl="8" w:tplc="E2520406"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77"/>
    <w:rsid w:val="000B11B2"/>
    <w:rsid w:val="008764DF"/>
    <w:rsid w:val="00941040"/>
    <w:rsid w:val="00F3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A3546-9302-4435-AF8D-2735FFA0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20E"/>
    <w:pPr>
      <w:ind w:left="720"/>
      <w:contextualSpacing/>
    </w:pPr>
  </w:style>
  <w:style w:type="paragraph" w:styleId="CommentText">
    <w:name w:val="annotation text"/>
    <w:basedOn w:val="Normal"/>
    <w:link w:val="CommentTextChar"/>
    <w:uiPriority w:val="99"/>
    <w:semiHidden/>
    <w:unhideWhenUsed/>
    <w:rsid w:val="000156CD"/>
    <w:pPr>
      <w:spacing w:line="240" w:lineRule="auto"/>
    </w:pPr>
    <w:rPr>
      <w:sz w:val="20"/>
      <w:szCs w:val="20"/>
    </w:rPr>
  </w:style>
  <w:style w:type="character" w:customStyle="1" w:styleId="CommentTextChar">
    <w:name w:val="Comment Text Char"/>
    <w:basedOn w:val="DefaultParagraphFont"/>
    <w:link w:val="CommentText"/>
    <w:uiPriority w:val="99"/>
    <w:semiHidden/>
    <w:rsid w:val="000156CD"/>
    <w:rPr>
      <w:sz w:val="20"/>
      <w:szCs w:val="20"/>
    </w:rPr>
  </w:style>
  <w:style w:type="character" w:styleId="CommentReference">
    <w:name w:val="annotation reference"/>
    <w:basedOn w:val="DefaultParagraphFont"/>
    <w:uiPriority w:val="99"/>
    <w:semiHidden/>
    <w:unhideWhenUsed/>
    <w:rsid w:val="000156CD"/>
    <w:rPr>
      <w:sz w:val="16"/>
      <w:szCs w:val="16"/>
    </w:rPr>
  </w:style>
  <w:style w:type="paragraph" w:styleId="BalloonText">
    <w:name w:val="Balloon Text"/>
    <w:basedOn w:val="Normal"/>
    <w:link w:val="BalloonTextChar"/>
    <w:uiPriority w:val="99"/>
    <w:semiHidden/>
    <w:unhideWhenUsed/>
    <w:rsid w:val="00015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6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44F3"/>
    <w:rPr>
      <w:b/>
      <w:bCs/>
    </w:rPr>
  </w:style>
  <w:style w:type="character" w:customStyle="1" w:styleId="CommentSubjectChar">
    <w:name w:val="Comment Subject Char"/>
    <w:basedOn w:val="CommentTextChar"/>
    <w:link w:val="CommentSubject"/>
    <w:uiPriority w:val="99"/>
    <w:semiHidden/>
    <w:rsid w:val="00E344F3"/>
    <w:rPr>
      <w:b/>
      <w:bCs/>
      <w:sz w:val="20"/>
      <w:szCs w:val="20"/>
    </w:rPr>
  </w:style>
  <w:style w:type="paragraph" w:styleId="Header">
    <w:name w:val="header"/>
    <w:basedOn w:val="Normal"/>
    <w:link w:val="HeaderChar"/>
    <w:uiPriority w:val="99"/>
    <w:unhideWhenUsed/>
    <w:rsid w:val="00D51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C25"/>
  </w:style>
  <w:style w:type="paragraph" w:styleId="Footer">
    <w:name w:val="footer"/>
    <w:basedOn w:val="Normal"/>
    <w:link w:val="FooterChar"/>
    <w:uiPriority w:val="99"/>
    <w:unhideWhenUsed/>
    <w:rsid w:val="00D51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C25"/>
  </w:style>
  <w:style w:type="table" w:styleId="TableGrid">
    <w:name w:val="Table Grid"/>
    <w:basedOn w:val="TableNormal"/>
    <w:uiPriority w:val="39"/>
    <w:rsid w:val="00D51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BFBF-7AED-4AB1-885D-7110913B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Ainsworth, Joanne</dc:creator>
  <cp:lastModifiedBy>Gorman, Dave</cp:lastModifiedBy>
  <cp:revision>12</cp:revision>
  <cp:lastPrinted>2018-09-04T08:15:00Z</cp:lastPrinted>
  <dcterms:created xsi:type="dcterms:W3CDTF">2018-09-04T09:03:00Z</dcterms:created>
  <dcterms:modified xsi:type="dcterms:W3CDTF">2018-09-05T09:24:00Z</dcterms:modified>
</cp:coreProperties>
</file>